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0000"/>
          <w:highlight w:val="lightGray"/>
        </w:rPr>
        <w:t>DENOMINACIÓN</w:t>
      </w:r>
      <w:r>
        <w:rPr>
          <w:color w:val="000000"/>
          <w:spacing w:val="14"/>
          <w:highlight w:val="lightGray"/>
        </w:rPr>
        <w:t> </w:t>
      </w:r>
      <w:r>
        <w:rPr>
          <w:color w:val="000000"/>
          <w:highlight w:val="lightGray"/>
        </w:rPr>
        <w:t>DE</w:t>
      </w:r>
      <w:r>
        <w:rPr>
          <w:color w:val="000000"/>
          <w:spacing w:val="12"/>
          <w:highlight w:val="lightGray"/>
        </w:rPr>
        <w:t> </w:t>
      </w:r>
      <w:r>
        <w:rPr>
          <w:color w:val="000000"/>
          <w:highlight w:val="lightGray"/>
        </w:rPr>
        <w:t>LA</w:t>
      </w:r>
      <w:r>
        <w:rPr>
          <w:color w:val="000000"/>
          <w:spacing w:val="13"/>
          <w:highlight w:val="lightGray"/>
        </w:rPr>
        <w:t> </w:t>
      </w:r>
      <w:r>
        <w:rPr>
          <w:color w:val="000000"/>
          <w:spacing w:val="-2"/>
          <w:highlight w:val="lightGray"/>
        </w:rPr>
        <w:t>ENTIDAD</w:t>
      </w:r>
    </w:p>
    <w:p>
      <w:pPr>
        <w:pStyle w:val="BodyText"/>
        <w:ind w:left="0"/>
        <w:jc w:val="left"/>
        <w:rPr>
          <w:rFonts w:ascii="Trebuchet MS"/>
          <w:b/>
        </w:rPr>
      </w:pPr>
    </w:p>
    <w:p>
      <w:pPr>
        <w:pStyle w:val="BodyText"/>
        <w:ind w:left="0"/>
        <w:jc w:val="left"/>
        <w:rPr>
          <w:rFonts w:ascii="Trebuchet MS"/>
          <w:b/>
        </w:rPr>
      </w:pPr>
    </w:p>
    <w:p>
      <w:pPr>
        <w:pStyle w:val="BodyText"/>
        <w:spacing w:before="36"/>
        <w:ind w:left="0"/>
        <w:jc w:val="left"/>
        <w:rPr>
          <w:rFonts w:ascii="Trebuchet MS"/>
          <w:b/>
        </w:rPr>
      </w:pPr>
    </w:p>
    <w:p>
      <w:pPr>
        <w:pStyle w:val="Heading1"/>
        <w:ind w:left="1251"/>
      </w:pPr>
      <w:r>
        <w:rPr/>
        <w:t>ESTADO</w:t>
      </w:r>
      <w:r>
        <w:rPr>
          <w:spacing w:val="-6"/>
        </w:rPr>
        <w:t> </w:t>
      </w:r>
      <w:r>
        <w:rPr/>
        <w:t>DE</w:t>
      </w:r>
      <w:r>
        <w:rPr>
          <w:spacing w:val="-4"/>
        </w:rPr>
        <w:t> </w:t>
      </w:r>
      <w:r>
        <w:rPr/>
        <w:t>RESULTADOS</w:t>
      </w:r>
      <w:r>
        <w:rPr>
          <w:spacing w:val="-3"/>
        </w:rPr>
        <w:t> </w:t>
      </w:r>
      <w:r>
        <w:rPr>
          <w:spacing w:val="-5"/>
        </w:rPr>
        <w:t>(1)</w:t>
      </w:r>
    </w:p>
    <w:p>
      <w:pPr>
        <w:spacing w:before="1"/>
        <w:ind w:left="1248" w:right="138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0"/>
        <w:ind w:left="0"/>
        <w:jc w:val="left"/>
        <w:rPr>
          <w:rFonts w:ascii="Arial"/>
          <w:b/>
          <w:sz w:val="15"/>
        </w:rPr>
      </w:pP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5891"/>
        <w:gridCol w:w="1038"/>
        <w:gridCol w:w="1035"/>
      </w:tblGrid>
      <w:tr>
        <w:trPr>
          <w:trHeight w:val="170" w:hRule="exact"/>
        </w:trPr>
        <w:tc>
          <w:tcPr>
            <w:tcW w:w="497" w:type="dxa"/>
            <w:shd w:val="clear" w:color="auto" w:fill="F1F1F1"/>
          </w:tcPr>
          <w:p>
            <w:pPr>
              <w:pStyle w:val="TableParagraph"/>
              <w:spacing w:line="140" w:lineRule="exact"/>
              <w:ind w:left="3" w:right="22"/>
              <w:jc w:val="center"/>
              <w:rPr>
                <w:sz w:val="14"/>
              </w:rPr>
            </w:pPr>
            <w:r>
              <w:rPr>
                <w:spacing w:val="-4"/>
                <w:sz w:val="14"/>
              </w:rPr>
              <w:t>Ref.</w:t>
            </w:r>
          </w:p>
        </w:tc>
        <w:tc>
          <w:tcPr>
            <w:tcW w:w="5891" w:type="dxa"/>
            <w:shd w:val="clear" w:color="auto" w:fill="F1F1F1"/>
          </w:tcPr>
          <w:p>
            <w:pPr>
              <w:pStyle w:val="TableParagraph"/>
              <w:rPr>
                <w:rFonts w:ascii="Times New Roman"/>
                <w:sz w:val="10"/>
              </w:rPr>
            </w:pPr>
          </w:p>
        </w:tc>
        <w:tc>
          <w:tcPr>
            <w:tcW w:w="1038" w:type="dxa"/>
            <w:shd w:val="clear" w:color="auto" w:fill="F1F1F1"/>
          </w:tcPr>
          <w:p>
            <w:pPr>
              <w:pStyle w:val="TableParagraph"/>
              <w:spacing w:line="140" w:lineRule="exact"/>
              <w:ind w:left="319"/>
              <w:rPr>
                <w:sz w:val="14"/>
              </w:rPr>
            </w:pPr>
            <w:r>
              <w:rPr>
                <w:spacing w:val="-2"/>
                <w:sz w:val="14"/>
              </w:rPr>
              <w:t>Actual</w:t>
            </w:r>
          </w:p>
        </w:tc>
        <w:tc>
          <w:tcPr>
            <w:tcW w:w="1035" w:type="dxa"/>
            <w:shd w:val="clear" w:color="auto" w:fill="F1F1F1"/>
          </w:tcPr>
          <w:p>
            <w:pPr>
              <w:pStyle w:val="TableParagraph"/>
              <w:spacing w:line="140" w:lineRule="exact"/>
              <w:ind w:left="114"/>
              <w:rPr>
                <w:sz w:val="14"/>
              </w:rPr>
            </w:pPr>
            <w:r>
              <w:rPr>
                <w:spacing w:val="-2"/>
                <w:sz w:val="14"/>
              </w:rPr>
              <w:t>Comparativo</w:t>
            </w:r>
          </w:p>
        </w:tc>
      </w:tr>
      <w:tr>
        <w:trPr>
          <w:trHeight w:val="171" w:hRule="exact"/>
        </w:trPr>
        <w:tc>
          <w:tcPr>
            <w:tcW w:w="497" w:type="dxa"/>
            <w:tcBorders>
              <w:bottom w:val="nil"/>
            </w:tcBorders>
          </w:tcPr>
          <w:p>
            <w:pPr>
              <w:pStyle w:val="TableParagraph"/>
              <w:rPr>
                <w:rFonts w:ascii="Times New Roman"/>
                <w:sz w:val="10"/>
              </w:rPr>
            </w:pPr>
          </w:p>
        </w:tc>
        <w:tc>
          <w:tcPr>
            <w:tcW w:w="5891" w:type="dxa"/>
            <w:tcBorders>
              <w:bottom w:val="nil"/>
            </w:tcBorders>
          </w:tcPr>
          <w:p>
            <w:pPr>
              <w:pStyle w:val="TableParagraph"/>
              <w:spacing w:line="143" w:lineRule="exact" w:before="3"/>
              <w:ind w:left="102"/>
              <w:rPr>
                <w:sz w:val="14"/>
              </w:rPr>
            </w:pPr>
            <w:r>
              <w:rPr>
                <w:sz w:val="14"/>
              </w:rPr>
              <w:t>Ingresos</w:t>
            </w:r>
            <w:r>
              <w:rPr>
                <w:spacing w:val="-7"/>
                <w:sz w:val="14"/>
              </w:rPr>
              <w:t> </w:t>
            </w:r>
            <w:r>
              <w:rPr>
                <w:sz w:val="14"/>
              </w:rPr>
              <w:t>por</w:t>
            </w:r>
            <w:r>
              <w:rPr>
                <w:spacing w:val="-6"/>
                <w:sz w:val="14"/>
              </w:rPr>
              <w:t> </w:t>
            </w:r>
            <w:r>
              <w:rPr>
                <w:sz w:val="14"/>
              </w:rPr>
              <w:t>la</w:t>
            </w:r>
            <w:r>
              <w:rPr>
                <w:spacing w:val="-5"/>
                <w:sz w:val="14"/>
              </w:rPr>
              <w:t> </w:t>
            </w:r>
            <w:r>
              <w:rPr>
                <w:sz w:val="14"/>
              </w:rPr>
              <w:t>producción</w:t>
            </w:r>
            <w:r>
              <w:rPr>
                <w:spacing w:val="-4"/>
                <w:sz w:val="14"/>
              </w:rPr>
              <w:t> </w:t>
            </w:r>
            <w:r>
              <w:rPr>
                <w:sz w:val="14"/>
              </w:rPr>
              <w:t>agropecuaria</w:t>
            </w:r>
            <w:r>
              <w:rPr>
                <w:spacing w:val="-7"/>
                <w:sz w:val="14"/>
              </w:rPr>
              <w:t> </w:t>
            </w:r>
            <w:r>
              <w:rPr>
                <w:sz w:val="14"/>
              </w:rPr>
              <w:t>(Nota</w:t>
            </w:r>
            <w:r>
              <w:rPr>
                <w:spacing w:val="-2"/>
                <w:sz w:val="14"/>
              </w:rPr>
              <w:t> </w:t>
            </w:r>
            <w:r>
              <w:rPr>
                <w:spacing w:val="-4"/>
                <w:sz w:val="14"/>
              </w:rPr>
              <w:t>3.1)</w:t>
            </w:r>
          </w:p>
        </w:tc>
        <w:tc>
          <w:tcPr>
            <w:tcW w:w="1038" w:type="dxa"/>
            <w:vMerge w:val="restart"/>
          </w:tcPr>
          <w:p>
            <w:pPr>
              <w:pStyle w:val="TableParagraph"/>
              <w:rPr>
                <w:rFonts w:ascii="Times New Roman"/>
                <w:sz w:val="14"/>
              </w:rPr>
            </w:pPr>
          </w:p>
        </w:tc>
        <w:tc>
          <w:tcPr>
            <w:tcW w:w="1035" w:type="dxa"/>
            <w:vMerge w:val="restart"/>
          </w:tcPr>
          <w:p>
            <w:pPr>
              <w:pStyle w:val="TableParagraph"/>
              <w:rPr>
                <w:rFonts w:ascii="Times New Roman"/>
                <w:sz w:val="14"/>
              </w:rPr>
            </w:pPr>
          </w:p>
        </w:tc>
      </w:tr>
      <w:tr>
        <w:trPr>
          <w:trHeight w:val="160"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1" w:lineRule="exact"/>
              <w:ind w:left="102"/>
              <w:rPr>
                <w:sz w:val="14"/>
              </w:rPr>
            </w:pPr>
            <w:r>
              <w:rPr>
                <w:sz w:val="14"/>
              </w:rPr>
              <w:t>Costos</w:t>
            </w:r>
            <w:r>
              <w:rPr>
                <w:spacing w:val="-7"/>
                <w:sz w:val="14"/>
              </w:rPr>
              <w:t> </w:t>
            </w:r>
            <w:r>
              <w:rPr>
                <w:sz w:val="14"/>
              </w:rPr>
              <w:t>de</w:t>
            </w:r>
            <w:r>
              <w:rPr>
                <w:spacing w:val="-6"/>
                <w:sz w:val="14"/>
              </w:rPr>
              <w:t> </w:t>
            </w:r>
            <w:r>
              <w:rPr>
                <w:sz w:val="14"/>
              </w:rPr>
              <w:t>producción</w:t>
            </w:r>
            <w:r>
              <w:rPr>
                <w:spacing w:val="-5"/>
                <w:sz w:val="14"/>
              </w:rPr>
              <w:t> </w:t>
            </w:r>
            <w:r>
              <w:rPr>
                <w:sz w:val="14"/>
              </w:rPr>
              <w:t>asociados</w:t>
            </w:r>
            <w:r>
              <w:rPr>
                <w:spacing w:val="-5"/>
                <w:sz w:val="14"/>
              </w:rPr>
              <w:t> </w:t>
            </w:r>
            <w:r>
              <w:rPr>
                <w:sz w:val="14"/>
              </w:rPr>
              <w:t>(</w:t>
            </w:r>
            <w:r>
              <w:rPr>
                <w:rFonts w:ascii="Arial" w:hAnsi="Arial"/>
                <w:b/>
                <w:sz w:val="14"/>
                <w:u w:val="single"/>
              </w:rPr>
              <w:t>Anexo</w:t>
            </w:r>
            <w:r>
              <w:rPr>
                <w:rFonts w:ascii="Arial" w:hAnsi="Arial"/>
                <w:b/>
                <w:spacing w:val="-7"/>
                <w:sz w:val="14"/>
                <w:u w:val="single"/>
              </w:rPr>
              <w:t> </w:t>
            </w:r>
            <w:r>
              <w:rPr>
                <w:rFonts w:ascii="Arial" w:hAnsi="Arial"/>
                <w:b/>
                <w:spacing w:val="-5"/>
                <w:sz w:val="14"/>
                <w:u w:val="single"/>
              </w:rPr>
              <w:t>IX</w:t>
            </w:r>
            <w:r>
              <w:rPr>
                <w:spacing w:val="-5"/>
                <w:sz w:val="14"/>
              </w:rPr>
              <w:t>)</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0"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1" w:lineRule="exact"/>
              <w:ind w:left="102"/>
              <w:rPr>
                <w:rFonts w:ascii="Arial" w:hAnsi="Arial"/>
                <w:b/>
                <w:sz w:val="14"/>
              </w:rPr>
            </w:pPr>
            <w:r>
              <w:rPr>
                <w:rFonts w:ascii="Arial" w:hAnsi="Arial"/>
                <w:b/>
                <w:sz w:val="14"/>
              </w:rPr>
              <w:t>Resultado</w:t>
            </w:r>
            <w:r>
              <w:rPr>
                <w:rFonts w:ascii="Arial" w:hAnsi="Arial"/>
                <w:b/>
                <w:spacing w:val="-6"/>
                <w:sz w:val="14"/>
              </w:rPr>
              <w:t> </w:t>
            </w:r>
            <w:r>
              <w:rPr>
                <w:rFonts w:ascii="Arial" w:hAnsi="Arial"/>
                <w:b/>
                <w:sz w:val="14"/>
              </w:rPr>
              <w:t>de</w:t>
            </w:r>
            <w:r>
              <w:rPr>
                <w:rFonts w:ascii="Arial" w:hAnsi="Arial"/>
                <w:b/>
                <w:spacing w:val="-5"/>
                <w:sz w:val="14"/>
              </w:rPr>
              <w:t> </w:t>
            </w:r>
            <w:r>
              <w:rPr>
                <w:rFonts w:ascii="Arial" w:hAnsi="Arial"/>
                <w:b/>
                <w:sz w:val="14"/>
              </w:rPr>
              <w:t>la</w:t>
            </w:r>
            <w:r>
              <w:rPr>
                <w:rFonts w:ascii="Arial" w:hAnsi="Arial"/>
                <w:b/>
                <w:spacing w:val="-4"/>
                <w:sz w:val="14"/>
              </w:rPr>
              <w:t> </w:t>
            </w:r>
            <w:r>
              <w:rPr>
                <w:rFonts w:ascii="Arial" w:hAnsi="Arial"/>
                <w:b/>
                <w:sz w:val="14"/>
              </w:rPr>
              <w:t>producción</w:t>
            </w:r>
            <w:r>
              <w:rPr>
                <w:rFonts w:ascii="Arial" w:hAnsi="Arial"/>
                <w:b/>
                <w:spacing w:val="-6"/>
                <w:sz w:val="14"/>
              </w:rPr>
              <w:t> </w:t>
            </w:r>
            <w:r>
              <w:rPr>
                <w:rFonts w:ascii="Arial" w:hAnsi="Arial"/>
                <w:b/>
                <w:spacing w:val="-2"/>
                <w:sz w:val="14"/>
              </w:rPr>
              <w:t>agropecuaria</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323" w:hRule="exact"/>
        </w:trPr>
        <w:tc>
          <w:tcPr>
            <w:tcW w:w="497" w:type="dxa"/>
            <w:vMerge w:val="restart"/>
            <w:tcBorders>
              <w:top w:val="nil"/>
              <w:bottom w:val="nil"/>
            </w:tcBorders>
          </w:tcPr>
          <w:p>
            <w:pPr>
              <w:pStyle w:val="TableParagraph"/>
              <w:spacing w:line="158" w:lineRule="exact"/>
              <w:ind w:left="160"/>
              <w:rPr>
                <w:sz w:val="14"/>
              </w:rPr>
            </w:pPr>
            <w:r>
              <w:rPr>
                <w:spacing w:val="-5"/>
                <w:sz w:val="14"/>
              </w:rPr>
              <w:t>(2)</w:t>
            </w:r>
          </w:p>
        </w:tc>
        <w:tc>
          <w:tcPr>
            <w:tcW w:w="5891" w:type="dxa"/>
            <w:vMerge w:val="restart"/>
            <w:tcBorders>
              <w:top w:val="nil"/>
              <w:bottom w:val="nil"/>
            </w:tcBorders>
          </w:tcPr>
          <w:p>
            <w:pPr>
              <w:pStyle w:val="TableParagraph"/>
              <w:ind w:left="102" w:right="2437"/>
              <w:rPr>
                <w:sz w:val="14"/>
              </w:rPr>
            </w:pPr>
            <w:r>
              <w:rPr>
                <w:sz w:val="14"/>
              </w:rPr>
              <w:t>Ingresos netos por la venta de bienes (Nota 3.2)</w:t>
            </w:r>
            <w:r>
              <w:rPr>
                <w:spacing w:val="40"/>
                <w:sz w:val="14"/>
              </w:rPr>
              <w:t> </w:t>
            </w:r>
            <w:r>
              <w:rPr>
                <w:sz w:val="14"/>
              </w:rPr>
              <w:t>Costo</w:t>
            </w:r>
            <w:r>
              <w:rPr>
                <w:spacing w:val="-4"/>
                <w:sz w:val="14"/>
              </w:rPr>
              <w:t> </w:t>
            </w:r>
            <w:r>
              <w:rPr>
                <w:sz w:val="14"/>
              </w:rPr>
              <w:t>de</w:t>
            </w:r>
            <w:r>
              <w:rPr>
                <w:spacing w:val="-4"/>
                <w:sz w:val="14"/>
              </w:rPr>
              <w:t> </w:t>
            </w:r>
            <w:r>
              <w:rPr>
                <w:sz w:val="14"/>
              </w:rPr>
              <w:t>los</w:t>
            </w:r>
            <w:r>
              <w:rPr>
                <w:spacing w:val="-4"/>
                <w:sz w:val="14"/>
              </w:rPr>
              <w:t> </w:t>
            </w:r>
            <w:r>
              <w:rPr>
                <w:sz w:val="14"/>
              </w:rPr>
              <w:t>bienes</w:t>
            </w:r>
            <w:r>
              <w:rPr>
                <w:spacing w:val="-4"/>
                <w:sz w:val="14"/>
              </w:rPr>
              <w:t> </w:t>
            </w:r>
            <w:r>
              <w:rPr>
                <w:sz w:val="14"/>
              </w:rPr>
              <w:t>vendidos</w:t>
            </w:r>
            <w:r>
              <w:rPr>
                <w:spacing w:val="-4"/>
                <w:sz w:val="14"/>
              </w:rPr>
              <w:t> </w:t>
            </w:r>
            <w:r>
              <w:rPr>
                <w:sz w:val="14"/>
              </w:rPr>
              <w:t>(Nota</w:t>
            </w:r>
            <w:r>
              <w:rPr>
                <w:spacing w:val="-4"/>
                <w:sz w:val="14"/>
              </w:rPr>
              <w:t> </w:t>
            </w:r>
            <w:r>
              <w:rPr>
                <w:sz w:val="14"/>
              </w:rPr>
              <w:t>3.4</w:t>
            </w:r>
            <w:r>
              <w:rPr>
                <w:spacing w:val="-4"/>
                <w:sz w:val="14"/>
              </w:rPr>
              <w:t> </w:t>
            </w:r>
            <w:r>
              <w:rPr>
                <w:sz w:val="14"/>
              </w:rPr>
              <w:t>y</w:t>
            </w:r>
            <w:r>
              <w:rPr>
                <w:spacing w:val="-6"/>
                <w:sz w:val="14"/>
              </w:rPr>
              <w:t> </w:t>
            </w:r>
            <w:r>
              <w:rPr>
                <w:rFonts w:ascii="Arial"/>
                <w:b/>
                <w:i/>
                <w:color w:val="0000FF"/>
                <w:sz w:val="14"/>
                <w:u w:val="single" w:color="0000FF"/>
              </w:rPr>
              <w:t>Anexo</w:t>
            </w:r>
            <w:r>
              <w:rPr>
                <w:rFonts w:ascii="Arial"/>
                <w:b/>
                <w:i/>
                <w:color w:val="0000FF"/>
                <w:spacing w:val="-7"/>
                <w:sz w:val="14"/>
                <w:u w:val="single" w:color="0000FF"/>
              </w:rPr>
              <w:t> </w:t>
            </w:r>
            <w:r>
              <w:rPr>
                <w:rFonts w:ascii="Arial"/>
                <w:b/>
                <w:i/>
                <w:color w:val="0000FF"/>
                <w:sz w:val="14"/>
                <w:u w:val="single" w:color="0000FF"/>
              </w:rPr>
              <w:t>VIII</w:t>
            </w:r>
            <w:r>
              <w:rPr>
                <w:sz w:val="14"/>
              </w:rPr>
              <w:t>)</w:t>
            </w:r>
          </w:p>
          <w:p>
            <w:pPr>
              <w:pStyle w:val="TableParagraph"/>
              <w:spacing w:line="145" w:lineRule="exact" w:before="6"/>
              <w:ind w:left="102"/>
              <w:rPr>
                <w:rFonts w:ascii="Arial" w:hAnsi="Arial"/>
                <w:b/>
                <w:sz w:val="14"/>
              </w:rPr>
            </w:pPr>
            <w:r>
              <w:rPr>
                <w:rFonts w:ascii="Arial" w:hAnsi="Arial"/>
                <w:b/>
                <w:sz w:val="14"/>
              </w:rPr>
              <w:t>Ganancia</w:t>
            </w:r>
            <w:r>
              <w:rPr>
                <w:rFonts w:ascii="Arial" w:hAnsi="Arial"/>
                <w:b/>
                <w:spacing w:val="-10"/>
                <w:sz w:val="14"/>
              </w:rPr>
              <w:t> </w:t>
            </w:r>
            <w:r>
              <w:rPr>
                <w:rFonts w:ascii="Arial" w:hAnsi="Arial"/>
                <w:b/>
                <w:sz w:val="14"/>
              </w:rPr>
              <w:t>(pérdida)</w:t>
            </w:r>
            <w:r>
              <w:rPr>
                <w:rFonts w:ascii="Arial" w:hAnsi="Arial"/>
                <w:b/>
                <w:spacing w:val="-8"/>
                <w:sz w:val="14"/>
              </w:rPr>
              <w:t> </w:t>
            </w:r>
            <w:r>
              <w:rPr>
                <w:rFonts w:ascii="Arial" w:hAnsi="Arial"/>
                <w:b/>
                <w:spacing w:val="-4"/>
                <w:sz w:val="14"/>
              </w:rPr>
              <w:t>bruta</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70"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0" w:hRule="exact"/>
        </w:trPr>
        <w:tc>
          <w:tcPr>
            <w:tcW w:w="497" w:type="dxa"/>
            <w:tcBorders>
              <w:top w:val="nil"/>
              <w:bottom w:val="nil"/>
            </w:tcBorders>
          </w:tcPr>
          <w:p>
            <w:pPr>
              <w:pStyle w:val="TableParagraph"/>
              <w:spacing w:line="145" w:lineRule="exact" w:before="5"/>
              <w:ind w:left="21" w:right="19"/>
              <w:jc w:val="center"/>
              <w:rPr>
                <w:sz w:val="14"/>
              </w:rPr>
            </w:pPr>
            <w:r>
              <w:rPr>
                <w:spacing w:val="-5"/>
                <w:sz w:val="14"/>
              </w:rPr>
              <w:t>(3)</w:t>
            </w:r>
          </w:p>
        </w:tc>
        <w:tc>
          <w:tcPr>
            <w:tcW w:w="5891" w:type="dxa"/>
            <w:tcBorders>
              <w:top w:val="nil"/>
              <w:bottom w:val="nil"/>
            </w:tcBorders>
          </w:tcPr>
          <w:p>
            <w:pPr>
              <w:pStyle w:val="TableParagraph"/>
              <w:spacing w:line="145" w:lineRule="exact" w:before="5"/>
              <w:ind w:left="102"/>
              <w:rPr>
                <w:sz w:val="14"/>
              </w:rPr>
            </w:pPr>
            <w:r>
              <w:rPr>
                <w:sz w:val="14"/>
              </w:rPr>
              <w:t>Resultado</w:t>
            </w:r>
            <w:r>
              <w:rPr>
                <w:spacing w:val="-6"/>
                <w:sz w:val="14"/>
              </w:rPr>
              <w:t> </w:t>
            </w:r>
            <w:r>
              <w:rPr>
                <w:sz w:val="14"/>
              </w:rPr>
              <w:t>por</w:t>
            </w:r>
            <w:r>
              <w:rPr>
                <w:spacing w:val="-5"/>
                <w:sz w:val="14"/>
              </w:rPr>
              <w:t> </w:t>
            </w:r>
            <w:r>
              <w:rPr>
                <w:sz w:val="14"/>
              </w:rPr>
              <w:t>medición</w:t>
            </w:r>
            <w:r>
              <w:rPr>
                <w:spacing w:val="-3"/>
                <w:sz w:val="14"/>
              </w:rPr>
              <w:t> </w:t>
            </w:r>
            <w:r>
              <w:rPr>
                <w:sz w:val="14"/>
              </w:rPr>
              <w:t>bienes</w:t>
            </w:r>
            <w:r>
              <w:rPr>
                <w:spacing w:val="-3"/>
                <w:sz w:val="14"/>
              </w:rPr>
              <w:t> </w:t>
            </w:r>
            <w:r>
              <w:rPr>
                <w:sz w:val="14"/>
              </w:rPr>
              <w:t>de</w:t>
            </w:r>
            <w:r>
              <w:rPr>
                <w:spacing w:val="-5"/>
                <w:sz w:val="14"/>
              </w:rPr>
              <w:t> </w:t>
            </w:r>
            <w:r>
              <w:rPr>
                <w:sz w:val="14"/>
              </w:rPr>
              <w:t>cambio</w:t>
            </w:r>
            <w:r>
              <w:rPr>
                <w:spacing w:val="-3"/>
                <w:sz w:val="14"/>
              </w:rPr>
              <w:t> </w:t>
            </w:r>
            <w:r>
              <w:rPr>
                <w:sz w:val="14"/>
              </w:rPr>
              <w:t>al</w:t>
            </w:r>
            <w:r>
              <w:rPr>
                <w:spacing w:val="-5"/>
                <w:sz w:val="14"/>
              </w:rPr>
              <w:t> </w:t>
            </w:r>
            <w:r>
              <w:rPr>
                <w:sz w:val="14"/>
              </w:rPr>
              <w:t>valor</w:t>
            </w:r>
            <w:r>
              <w:rPr>
                <w:spacing w:val="-4"/>
                <w:sz w:val="14"/>
              </w:rPr>
              <w:t> </w:t>
            </w:r>
            <w:r>
              <w:rPr>
                <w:sz w:val="14"/>
              </w:rPr>
              <w:t>neto</w:t>
            </w:r>
            <w:r>
              <w:rPr>
                <w:spacing w:val="-3"/>
                <w:sz w:val="14"/>
              </w:rPr>
              <w:t> </w:t>
            </w:r>
            <w:r>
              <w:rPr>
                <w:sz w:val="14"/>
              </w:rPr>
              <w:t>de</w:t>
            </w:r>
            <w:r>
              <w:rPr>
                <w:spacing w:val="-3"/>
                <w:sz w:val="14"/>
              </w:rPr>
              <w:t> </w:t>
            </w:r>
            <w:r>
              <w:rPr>
                <w:spacing w:val="-2"/>
                <w:sz w:val="14"/>
              </w:rPr>
              <w:t>realización</w:t>
            </w: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492" w:hRule="exact"/>
        </w:trPr>
        <w:tc>
          <w:tcPr>
            <w:tcW w:w="497" w:type="dxa"/>
            <w:tcBorders>
              <w:top w:val="nil"/>
              <w:bottom w:val="nil"/>
            </w:tcBorders>
          </w:tcPr>
          <w:p>
            <w:pPr>
              <w:pStyle w:val="TableParagraph"/>
              <w:rPr>
                <w:rFonts w:ascii="Arial"/>
                <w:b/>
                <w:sz w:val="14"/>
              </w:rPr>
            </w:pPr>
          </w:p>
          <w:p>
            <w:pPr>
              <w:pStyle w:val="TableParagraph"/>
              <w:spacing w:before="7"/>
              <w:rPr>
                <w:rFonts w:ascii="Arial"/>
                <w:b/>
                <w:sz w:val="14"/>
              </w:rPr>
            </w:pPr>
          </w:p>
          <w:p>
            <w:pPr>
              <w:pStyle w:val="TableParagraph"/>
              <w:spacing w:line="143" w:lineRule="exact"/>
              <w:ind w:left="22" w:right="19"/>
              <w:jc w:val="center"/>
              <w:rPr>
                <w:sz w:val="14"/>
              </w:rPr>
            </w:pPr>
            <w:r>
              <w:rPr>
                <w:spacing w:val="-5"/>
                <w:sz w:val="14"/>
              </w:rPr>
              <w:t>(4)</w:t>
            </w:r>
          </w:p>
        </w:tc>
        <w:tc>
          <w:tcPr>
            <w:tcW w:w="5891" w:type="dxa"/>
            <w:tcBorders>
              <w:top w:val="nil"/>
              <w:bottom w:val="nil"/>
            </w:tcBorders>
          </w:tcPr>
          <w:p>
            <w:pPr>
              <w:pStyle w:val="TableParagraph"/>
              <w:spacing w:line="160" w:lineRule="atLeast"/>
              <w:ind w:left="102" w:right="3145"/>
              <w:rPr>
                <w:sz w:val="14"/>
              </w:rPr>
            </w:pPr>
            <w:r>
              <w:rPr>
                <w:sz w:val="14"/>
              </w:rPr>
              <w:t>Gastos</w:t>
            </w:r>
            <w:r>
              <w:rPr>
                <w:spacing w:val="-10"/>
                <w:sz w:val="14"/>
              </w:rPr>
              <w:t> </w:t>
            </w:r>
            <w:r>
              <w:rPr>
                <w:sz w:val="14"/>
              </w:rPr>
              <w:t>de</w:t>
            </w:r>
            <w:r>
              <w:rPr>
                <w:spacing w:val="-10"/>
                <w:sz w:val="14"/>
              </w:rPr>
              <w:t> </w:t>
            </w:r>
            <w:r>
              <w:rPr>
                <w:sz w:val="14"/>
              </w:rPr>
              <w:t>comercialización</w:t>
            </w:r>
            <w:r>
              <w:rPr>
                <w:spacing w:val="-9"/>
                <w:sz w:val="14"/>
              </w:rPr>
              <w:t> </w:t>
            </w:r>
            <w:r>
              <w:rPr>
                <w:sz w:val="14"/>
              </w:rPr>
              <w:t>(</w:t>
            </w:r>
            <w:r>
              <w:rPr>
                <w:rFonts w:ascii="Arial" w:hAnsi="Arial"/>
                <w:b/>
                <w:color w:val="0000FF"/>
                <w:sz w:val="14"/>
                <w:u w:val="single" w:color="0000FF"/>
              </w:rPr>
              <w:t>Anexo</w:t>
            </w:r>
            <w:r>
              <w:rPr>
                <w:rFonts w:ascii="Arial" w:hAnsi="Arial"/>
                <w:b/>
                <w:color w:val="0000FF"/>
                <w:spacing w:val="-9"/>
                <w:sz w:val="14"/>
                <w:u w:val="single" w:color="0000FF"/>
              </w:rPr>
              <w:t> </w:t>
            </w:r>
            <w:r>
              <w:rPr>
                <w:rFonts w:ascii="Arial" w:hAnsi="Arial"/>
                <w:b/>
                <w:color w:val="0000FF"/>
                <w:sz w:val="14"/>
                <w:u w:val="single" w:color="0000FF"/>
              </w:rPr>
              <w:t>IX</w:t>
            </w:r>
            <w:r>
              <w:rPr>
                <w:sz w:val="14"/>
              </w:rPr>
              <w:t>)</w:t>
            </w:r>
            <w:r>
              <w:rPr>
                <w:spacing w:val="40"/>
                <w:sz w:val="14"/>
              </w:rPr>
              <w:t> </w:t>
            </w:r>
            <w:r>
              <w:rPr>
                <w:sz w:val="14"/>
              </w:rPr>
              <w:t>Gastos de administración (</w:t>
            </w:r>
            <w:r>
              <w:rPr>
                <w:rFonts w:ascii="Arial" w:hAnsi="Arial"/>
                <w:b/>
                <w:color w:val="0000FF"/>
                <w:sz w:val="14"/>
                <w:u w:val="single" w:color="0000FF"/>
              </w:rPr>
              <w:t>Anexo IX</w:t>
            </w:r>
            <w:r>
              <w:rPr>
                <w:sz w:val="14"/>
              </w:rPr>
              <w:t>)</w:t>
            </w:r>
            <w:r>
              <w:rPr>
                <w:spacing w:val="40"/>
                <w:sz w:val="14"/>
              </w:rPr>
              <w:t> </w:t>
            </w:r>
            <w:r>
              <w:rPr>
                <w:sz w:val="14"/>
              </w:rPr>
              <w:t>Otros gastos operativos (</w:t>
            </w:r>
            <w:r>
              <w:rPr>
                <w:rFonts w:ascii="Arial" w:hAnsi="Arial"/>
                <w:b/>
                <w:color w:val="0000FF"/>
                <w:sz w:val="14"/>
                <w:u w:val="single" w:color="0000FF"/>
              </w:rPr>
              <w:t>Anexo IX</w:t>
            </w:r>
            <w:r>
              <w:rPr>
                <w:sz w:val="14"/>
              </w:rPr>
              <w:t>)</w:t>
            </w:r>
          </w:p>
        </w:tc>
        <w:tc>
          <w:tcPr>
            <w:tcW w:w="1038" w:type="dxa"/>
            <w:vMerge w:val="restart"/>
          </w:tcPr>
          <w:p>
            <w:pPr>
              <w:pStyle w:val="TableParagraph"/>
              <w:rPr>
                <w:rFonts w:ascii="Times New Roman"/>
                <w:sz w:val="14"/>
              </w:rPr>
            </w:pPr>
          </w:p>
        </w:tc>
        <w:tc>
          <w:tcPr>
            <w:tcW w:w="1035" w:type="dxa"/>
            <w:vMerge w:val="restart"/>
          </w:tcPr>
          <w:p>
            <w:pPr>
              <w:pStyle w:val="TableParagraph"/>
              <w:rPr>
                <w:rFonts w:ascii="Times New Roman"/>
                <w:sz w:val="14"/>
              </w:rPr>
            </w:pPr>
          </w:p>
        </w:tc>
      </w:tr>
      <w:tr>
        <w:trPr>
          <w:trHeight w:val="214" w:hRule="exact"/>
        </w:trPr>
        <w:tc>
          <w:tcPr>
            <w:tcW w:w="497" w:type="dxa"/>
            <w:tcBorders>
              <w:top w:val="nil"/>
              <w:bottom w:val="nil"/>
            </w:tcBorders>
          </w:tcPr>
          <w:p>
            <w:pPr>
              <w:pStyle w:val="TableParagraph"/>
              <w:rPr>
                <w:rFonts w:ascii="Times New Roman"/>
                <w:sz w:val="14"/>
              </w:rPr>
            </w:pPr>
          </w:p>
        </w:tc>
        <w:tc>
          <w:tcPr>
            <w:tcW w:w="5891" w:type="dxa"/>
            <w:tcBorders>
              <w:top w:val="nil"/>
              <w:bottom w:val="nil"/>
            </w:tcBorders>
          </w:tcPr>
          <w:p>
            <w:pPr>
              <w:pStyle w:val="TableParagraph"/>
              <w:spacing w:line="158" w:lineRule="exact"/>
              <w:ind w:left="102"/>
              <w:rPr>
                <w:sz w:val="14"/>
              </w:rPr>
            </w:pPr>
            <w:r>
              <w:rPr>
                <w:sz w:val="14"/>
              </w:rPr>
              <w:t>Cambios</w:t>
            </w:r>
            <w:r>
              <w:rPr>
                <w:spacing w:val="-4"/>
                <w:sz w:val="14"/>
              </w:rPr>
              <w:t> </w:t>
            </w:r>
            <w:r>
              <w:rPr>
                <w:sz w:val="14"/>
              </w:rPr>
              <w:t>en</w:t>
            </w:r>
            <w:r>
              <w:rPr>
                <w:spacing w:val="-4"/>
                <w:sz w:val="14"/>
              </w:rPr>
              <w:t> </w:t>
            </w:r>
            <w:r>
              <w:rPr>
                <w:sz w:val="14"/>
              </w:rPr>
              <w:t>el</w:t>
            </w:r>
            <w:r>
              <w:rPr>
                <w:spacing w:val="-6"/>
                <w:sz w:val="14"/>
              </w:rPr>
              <w:t> </w:t>
            </w:r>
            <w:r>
              <w:rPr>
                <w:sz w:val="14"/>
              </w:rPr>
              <w:t>valor</w:t>
            </w:r>
            <w:r>
              <w:rPr>
                <w:spacing w:val="-5"/>
                <w:sz w:val="14"/>
              </w:rPr>
              <w:t> </w:t>
            </w:r>
            <w:r>
              <w:rPr>
                <w:sz w:val="14"/>
              </w:rPr>
              <w:t>razonable</w:t>
            </w:r>
            <w:r>
              <w:rPr>
                <w:spacing w:val="-4"/>
                <w:sz w:val="14"/>
              </w:rPr>
              <w:t> </w:t>
            </w:r>
            <w:r>
              <w:rPr>
                <w:sz w:val="14"/>
              </w:rPr>
              <w:t>de</w:t>
            </w:r>
            <w:r>
              <w:rPr>
                <w:spacing w:val="-4"/>
                <w:sz w:val="14"/>
              </w:rPr>
              <w:t> </w:t>
            </w:r>
            <w:r>
              <w:rPr>
                <w:sz w:val="14"/>
              </w:rPr>
              <w:t>propiedades</w:t>
            </w:r>
            <w:r>
              <w:rPr>
                <w:spacing w:val="-3"/>
                <w:sz w:val="14"/>
              </w:rPr>
              <w:t> </w:t>
            </w:r>
            <w:r>
              <w:rPr>
                <w:sz w:val="14"/>
              </w:rPr>
              <w:t>de</w:t>
            </w:r>
            <w:r>
              <w:rPr>
                <w:spacing w:val="-4"/>
                <w:sz w:val="14"/>
              </w:rPr>
              <w:t> </w:t>
            </w:r>
            <w:r>
              <w:rPr>
                <w:sz w:val="14"/>
              </w:rPr>
              <w:t>inversión</w:t>
            </w:r>
            <w:r>
              <w:rPr>
                <w:spacing w:val="-3"/>
                <w:sz w:val="14"/>
              </w:rPr>
              <w:t> </w:t>
            </w:r>
            <w:r>
              <w:rPr>
                <w:sz w:val="14"/>
              </w:rPr>
              <w:t>(</w:t>
            </w:r>
            <w:r>
              <w:rPr>
                <w:rFonts w:ascii="Arial" w:hAnsi="Arial"/>
                <w:b/>
                <w:color w:val="0000FF"/>
                <w:sz w:val="14"/>
                <w:u w:val="single" w:color="0000FF"/>
              </w:rPr>
              <w:t>Anexo</w:t>
            </w:r>
            <w:r>
              <w:rPr>
                <w:rFonts w:ascii="Arial" w:hAnsi="Arial"/>
                <w:b/>
                <w:color w:val="0000FF"/>
                <w:spacing w:val="-5"/>
                <w:sz w:val="14"/>
                <w:u w:val="single" w:color="0000FF"/>
              </w:rPr>
              <w:t> IX</w:t>
            </w:r>
            <w:r>
              <w:rPr>
                <w:spacing w:val="-5"/>
                <w:sz w:val="14"/>
              </w:rPr>
              <w:t>)</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214" w:hRule="exact"/>
        </w:trPr>
        <w:tc>
          <w:tcPr>
            <w:tcW w:w="497" w:type="dxa"/>
            <w:tcBorders>
              <w:top w:val="nil"/>
              <w:bottom w:val="nil"/>
            </w:tcBorders>
          </w:tcPr>
          <w:p>
            <w:pPr>
              <w:pStyle w:val="TableParagraph"/>
              <w:rPr>
                <w:rFonts w:ascii="Times New Roman"/>
                <w:sz w:val="14"/>
              </w:rPr>
            </w:pPr>
          </w:p>
        </w:tc>
        <w:tc>
          <w:tcPr>
            <w:tcW w:w="5891" w:type="dxa"/>
            <w:tcBorders>
              <w:top w:val="nil"/>
              <w:bottom w:val="nil"/>
            </w:tcBorders>
          </w:tcPr>
          <w:p>
            <w:pPr>
              <w:pStyle w:val="TableParagraph"/>
              <w:spacing w:line="143" w:lineRule="exact" w:before="51"/>
              <w:ind w:left="102"/>
              <w:rPr>
                <w:sz w:val="14"/>
              </w:rPr>
            </w:pPr>
            <w:r>
              <w:rPr>
                <w:sz w:val="14"/>
              </w:rPr>
              <w:t>Pérdidas</w:t>
            </w:r>
            <w:r>
              <w:rPr>
                <w:spacing w:val="-7"/>
                <w:sz w:val="14"/>
              </w:rPr>
              <w:t> </w:t>
            </w:r>
            <w:r>
              <w:rPr>
                <w:sz w:val="14"/>
              </w:rPr>
              <w:t>por</w:t>
            </w:r>
            <w:r>
              <w:rPr>
                <w:spacing w:val="-8"/>
                <w:sz w:val="14"/>
              </w:rPr>
              <w:t> </w:t>
            </w:r>
            <w:r>
              <w:rPr>
                <w:sz w:val="14"/>
              </w:rPr>
              <w:t>desvalorización</w:t>
            </w:r>
            <w:r>
              <w:rPr>
                <w:spacing w:val="-7"/>
                <w:sz w:val="14"/>
              </w:rPr>
              <w:t> </w:t>
            </w:r>
            <w:r>
              <w:rPr>
                <w:sz w:val="14"/>
              </w:rPr>
              <w:t>(reversión</w:t>
            </w:r>
            <w:r>
              <w:rPr>
                <w:spacing w:val="-8"/>
                <w:sz w:val="14"/>
              </w:rPr>
              <w:t> </w:t>
            </w:r>
            <w:r>
              <w:rPr>
                <w:sz w:val="14"/>
              </w:rPr>
              <w:t>pérdidas</w:t>
            </w:r>
            <w:r>
              <w:rPr>
                <w:spacing w:val="-5"/>
                <w:sz w:val="14"/>
              </w:rPr>
              <w:t> </w:t>
            </w:r>
            <w:r>
              <w:rPr>
                <w:sz w:val="14"/>
              </w:rPr>
              <w:t>por</w:t>
            </w:r>
            <w:r>
              <w:rPr>
                <w:spacing w:val="-7"/>
                <w:sz w:val="14"/>
              </w:rPr>
              <w:t> </w:t>
            </w:r>
            <w:r>
              <w:rPr>
                <w:sz w:val="14"/>
              </w:rPr>
              <w:t>desvalorización</w:t>
            </w:r>
            <w:r>
              <w:rPr>
                <w:spacing w:val="-6"/>
                <w:sz w:val="14"/>
              </w:rPr>
              <w:t> </w:t>
            </w:r>
            <w:r>
              <w:rPr>
                <w:sz w:val="14"/>
              </w:rPr>
              <w:t>(Nota</w:t>
            </w:r>
            <w:r>
              <w:rPr>
                <w:spacing w:val="-4"/>
                <w:sz w:val="14"/>
              </w:rPr>
              <w:t> 3.7)</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0" w:hRule="exact"/>
        </w:trPr>
        <w:tc>
          <w:tcPr>
            <w:tcW w:w="497" w:type="dxa"/>
            <w:tcBorders>
              <w:top w:val="nil"/>
              <w:bottom w:val="nil"/>
            </w:tcBorders>
          </w:tcPr>
          <w:p>
            <w:pPr>
              <w:pStyle w:val="TableParagraph"/>
              <w:spacing w:line="141" w:lineRule="exact"/>
              <w:ind w:left="22" w:right="19"/>
              <w:jc w:val="center"/>
              <w:rPr>
                <w:sz w:val="14"/>
              </w:rPr>
            </w:pPr>
            <w:r>
              <w:rPr>
                <w:spacing w:val="-5"/>
                <w:sz w:val="14"/>
              </w:rPr>
              <w:t>(5)</w:t>
            </w:r>
          </w:p>
        </w:tc>
        <w:tc>
          <w:tcPr>
            <w:tcW w:w="5891" w:type="dxa"/>
            <w:tcBorders>
              <w:top w:val="nil"/>
              <w:bottom w:val="nil"/>
            </w:tcBorders>
          </w:tcPr>
          <w:p>
            <w:pPr>
              <w:pStyle w:val="TableParagraph"/>
              <w:spacing w:line="141" w:lineRule="exact"/>
              <w:ind w:left="102"/>
              <w:rPr>
                <w:sz w:val="14"/>
              </w:rPr>
            </w:pPr>
            <w:r>
              <w:rPr>
                <w:sz w:val="14"/>
              </w:rPr>
              <w:t>Otros</w:t>
            </w:r>
            <w:r>
              <w:rPr>
                <w:spacing w:val="-6"/>
                <w:sz w:val="14"/>
              </w:rPr>
              <w:t> </w:t>
            </w:r>
            <w:r>
              <w:rPr>
                <w:sz w:val="14"/>
              </w:rPr>
              <w:t>resultados</w:t>
            </w:r>
            <w:r>
              <w:rPr>
                <w:spacing w:val="-6"/>
                <w:sz w:val="14"/>
              </w:rPr>
              <w:t> </w:t>
            </w:r>
            <w:r>
              <w:rPr>
                <w:sz w:val="14"/>
              </w:rPr>
              <w:t>financieros</w:t>
            </w:r>
            <w:r>
              <w:rPr>
                <w:spacing w:val="-3"/>
                <w:sz w:val="14"/>
              </w:rPr>
              <w:t> </w:t>
            </w:r>
            <w:r>
              <w:rPr>
                <w:sz w:val="14"/>
              </w:rPr>
              <w:t>y</w:t>
            </w:r>
            <w:r>
              <w:rPr>
                <w:spacing w:val="-6"/>
                <w:sz w:val="14"/>
              </w:rPr>
              <w:t> </w:t>
            </w:r>
            <w:r>
              <w:rPr>
                <w:sz w:val="14"/>
              </w:rPr>
              <w:t>por</w:t>
            </w:r>
            <w:r>
              <w:rPr>
                <w:spacing w:val="-4"/>
                <w:sz w:val="14"/>
              </w:rPr>
              <w:t> </w:t>
            </w:r>
            <w:r>
              <w:rPr>
                <w:spacing w:val="-2"/>
                <w:sz w:val="14"/>
              </w:rPr>
              <w:t>tenencia</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160" w:hRule="exact"/>
        </w:trPr>
        <w:tc>
          <w:tcPr>
            <w:tcW w:w="497" w:type="dxa"/>
            <w:tcBorders>
              <w:top w:val="nil"/>
              <w:bottom w:val="nil"/>
            </w:tcBorders>
          </w:tcPr>
          <w:p>
            <w:pPr>
              <w:pStyle w:val="TableParagraph"/>
              <w:rPr>
                <w:rFonts w:ascii="Times New Roman"/>
                <w:sz w:val="10"/>
              </w:rPr>
            </w:pPr>
          </w:p>
        </w:tc>
        <w:tc>
          <w:tcPr>
            <w:tcW w:w="5891" w:type="dxa"/>
            <w:tcBorders>
              <w:top w:val="nil"/>
              <w:bottom w:val="nil"/>
            </w:tcBorders>
          </w:tcPr>
          <w:p>
            <w:pPr>
              <w:pStyle w:val="TableParagraph"/>
              <w:spacing w:line="141" w:lineRule="exact"/>
              <w:ind w:left="102"/>
              <w:rPr>
                <w:sz w:val="14"/>
              </w:rPr>
            </w:pPr>
            <w:r>
              <w:rPr>
                <w:sz w:val="14"/>
              </w:rPr>
              <w:t>(incluyendo</w:t>
            </w:r>
            <w:r>
              <w:rPr>
                <w:spacing w:val="-4"/>
                <w:sz w:val="14"/>
              </w:rPr>
              <w:t> </w:t>
            </w:r>
            <w:r>
              <w:rPr>
                <w:sz w:val="14"/>
              </w:rPr>
              <w:t>el</w:t>
            </w:r>
            <w:r>
              <w:rPr>
                <w:spacing w:val="-3"/>
                <w:sz w:val="14"/>
              </w:rPr>
              <w:t> </w:t>
            </w:r>
            <w:r>
              <w:rPr>
                <w:sz w:val="14"/>
              </w:rPr>
              <w:t>resultado</w:t>
            </w:r>
            <w:r>
              <w:rPr>
                <w:spacing w:val="-3"/>
                <w:sz w:val="14"/>
              </w:rPr>
              <w:t> </w:t>
            </w:r>
            <w:r>
              <w:rPr>
                <w:sz w:val="14"/>
              </w:rPr>
              <w:t>por</w:t>
            </w:r>
            <w:r>
              <w:rPr>
                <w:spacing w:val="-6"/>
                <w:sz w:val="14"/>
              </w:rPr>
              <w:t> </w:t>
            </w:r>
            <w:r>
              <w:rPr>
                <w:sz w:val="14"/>
              </w:rPr>
              <w:t>los</w:t>
            </w:r>
            <w:r>
              <w:rPr>
                <w:spacing w:val="-3"/>
                <w:sz w:val="14"/>
              </w:rPr>
              <w:t> </w:t>
            </w:r>
            <w:r>
              <w:rPr>
                <w:sz w:val="14"/>
              </w:rPr>
              <w:t>cambios</w:t>
            </w:r>
            <w:r>
              <w:rPr>
                <w:spacing w:val="-6"/>
                <w:sz w:val="14"/>
              </w:rPr>
              <w:t> </w:t>
            </w:r>
            <w:r>
              <w:rPr>
                <w:sz w:val="14"/>
              </w:rPr>
              <w:t>en</w:t>
            </w:r>
            <w:r>
              <w:rPr>
                <w:spacing w:val="-3"/>
                <w:sz w:val="14"/>
              </w:rPr>
              <w:t> </w:t>
            </w:r>
            <w:r>
              <w:rPr>
                <w:sz w:val="14"/>
              </w:rPr>
              <w:t>el</w:t>
            </w:r>
            <w:r>
              <w:rPr>
                <w:spacing w:val="-3"/>
                <w:sz w:val="14"/>
              </w:rPr>
              <w:t> </w:t>
            </w:r>
            <w:r>
              <w:rPr>
                <w:sz w:val="14"/>
              </w:rPr>
              <w:t>poder</w:t>
            </w:r>
            <w:r>
              <w:rPr>
                <w:spacing w:val="-4"/>
                <w:sz w:val="14"/>
              </w:rPr>
              <w:t> </w:t>
            </w:r>
            <w:r>
              <w:rPr>
                <w:sz w:val="14"/>
              </w:rPr>
              <w:t>adquisitivo</w:t>
            </w:r>
            <w:r>
              <w:rPr>
                <w:spacing w:val="-3"/>
                <w:sz w:val="14"/>
              </w:rPr>
              <w:t> </w:t>
            </w:r>
            <w:r>
              <w:rPr>
                <w:sz w:val="14"/>
              </w:rPr>
              <w:t>de</w:t>
            </w:r>
            <w:r>
              <w:rPr>
                <w:spacing w:val="-5"/>
                <w:sz w:val="14"/>
              </w:rPr>
              <w:t> </w:t>
            </w:r>
            <w:r>
              <w:rPr>
                <w:sz w:val="14"/>
              </w:rPr>
              <w:t>la</w:t>
            </w:r>
            <w:r>
              <w:rPr>
                <w:spacing w:val="-6"/>
                <w:sz w:val="14"/>
              </w:rPr>
              <w:t> </w:t>
            </w:r>
            <w:r>
              <w:rPr>
                <w:sz w:val="14"/>
              </w:rPr>
              <w:t>moneda)</w:t>
            </w:r>
            <w:r>
              <w:rPr>
                <w:spacing w:val="-3"/>
                <w:sz w:val="14"/>
              </w:rPr>
              <w:t> </w:t>
            </w:r>
            <w:r>
              <w:rPr>
                <w:sz w:val="14"/>
              </w:rPr>
              <w:t>(Nota</w:t>
            </w:r>
            <w:r>
              <w:rPr>
                <w:spacing w:val="-4"/>
                <w:sz w:val="14"/>
              </w:rPr>
              <w:t> 3.6)</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323" w:hRule="exact"/>
        </w:trPr>
        <w:tc>
          <w:tcPr>
            <w:tcW w:w="497" w:type="dxa"/>
            <w:vMerge w:val="restart"/>
            <w:tcBorders>
              <w:top w:val="nil"/>
              <w:bottom w:val="nil"/>
            </w:tcBorders>
          </w:tcPr>
          <w:p>
            <w:pPr>
              <w:pStyle w:val="TableParagraph"/>
              <w:spacing w:line="158" w:lineRule="exact"/>
              <w:ind w:left="160"/>
              <w:rPr>
                <w:sz w:val="14"/>
              </w:rPr>
            </w:pPr>
            <w:r>
              <w:rPr>
                <w:spacing w:val="-5"/>
                <w:sz w:val="14"/>
              </w:rPr>
              <w:t>(6)</w:t>
            </w:r>
          </w:p>
        </w:tc>
        <w:tc>
          <w:tcPr>
            <w:tcW w:w="5891" w:type="dxa"/>
            <w:vMerge w:val="restart"/>
            <w:tcBorders>
              <w:top w:val="nil"/>
              <w:bottom w:val="nil"/>
            </w:tcBorders>
          </w:tcPr>
          <w:p>
            <w:pPr>
              <w:pStyle w:val="TableParagraph"/>
              <w:ind w:left="102" w:right="3915"/>
              <w:rPr>
                <w:sz w:val="14"/>
              </w:rPr>
            </w:pPr>
            <w:r>
              <w:rPr>
                <w:sz w:val="14"/>
              </w:rPr>
              <w:t>Otros</w:t>
            </w:r>
            <w:r>
              <w:rPr>
                <w:spacing w:val="-10"/>
                <w:sz w:val="14"/>
              </w:rPr>
              <w:t> </w:t>
            </w:r>
            <w:r>
              <w:rPr>
                <w:sz w:val="14"/>
              </w:rPr>
              <w:t>ingresos</w:t>
            </w:r>
            <w:r>
              <w:rPr>
                <w:spacing w:val="-10"/>
                <w:sz w:val="14"/>
              </w:rPr>
              <w:t> </w:t>
            </w:r>
            <w:r>
              <w:rPr>
                <w:sz w:val="14"/>
              </w:rPr>
              <w:t>(Nota</w:t>
            </w:r>
            <w:r>
              <w:rPr>
                <w:spacing w:val="-10"/>
                <w:sz w:val="14"/>
              </w:rPr>
              <w:t> </w:t>
            </w:r>
            <w:r>
              <w:rPr>
                <w:sz w:val="14"/>
              </w:rPr>
              <w:t>3.5)</w:t>
            </w:r>
            <w:r>
              <w:rPr>
                <w:spacing w:val="40"/>
                <w:sz w:val="14"/>
              </w:rPr>
              <w:t> </w:t>
            </w:r>
            <w:r>
              <w:rPr>
                <w:sz w:val="14"/>
              </w:rPr>
              <w:t>Otros</w:t>
            </w:r>
            <w:r>
              <w:rPr>
                <w:spacing w:val="-7"/>
                <w:sz w:val="14"/>
              </w:rPr>
              <w:t> </w:t>
            </w:r>
            <w:r>
              <w:rPr>
                <w:sz w:val="14"/>
              </w:rPr>
              <w:t>egresos</w:t>
            </w:r>
            <w:r>
              <w:rPr>
                <w:spacing w:val="-4"/>
                <w:sz w:val="14"/>
              </w:rPr>
              <w:t> </w:t>
            </w:r>
            <w:r>
              <w:rPr>
                <w:sz w:val="14"/>
              </w:rPr>
              <w:t>(Nota</w:t>
            </w:r>
            <w:r>
              <w:rPr>
                <w:spacing w:val="-3"/>
                <w:sz w:val="14"/>
              </w:rPr>
              <w:t> </w:t>
            </w:r>
            <w:r>
              <w:rPr>
                <w:spacing w:val="-4"/>
                <w:sz w:val="14"/>
              </w:rPr>
              <w:t>3.5)</w:t>
            </w:r>
          </w:p>
          <w:p>
            <w:pPr>
              <w:pStyle w:val="TableParagraph"/>
              <w:spacing w:line="242" w:lineRule="auto" w:before="7"/>
              <w:ind w:left="102" w:right="194"/>
              <w:rPr>
                <w:rFonts w:ascii="Arial" w:hAnsi="Arial"/>
                <w:b/>
                <w:sz w:val="14"/>
              </w:rPr>
            </w:pPr>
            <w:r>
              <w:rPr>
                <w:rFonts w:ascii="Arial" w:hAnsi="Arial"/>
                <w:b/>
                <w:sz w:val="14"/>
              </w:rPr>
              <w:t>Ganancia</w:t>
            </w:r>
            <w:r>
              <w:rPr>
                <w:rFonts w:ascii="Arial" w:hAnsi="Arial"/>
                <w:b/>
                <w:spacing w:val="-6"/>
                <w:sz w:val="14"/>
              </w:rPr>
              <w:t> </w:t>
            </w:r>
            <w:r>
              <w:rPr>
                <w:rFonts w:ascii="Arial" w:hAnsi="Arial"/>
                <w:b/>
                <w:sz w:val="14"/>
              </w:rPr>
              <w:t>(pérdida)</w:t>
            </w:r>
            <w:r>
              <w:rPr>
                <w:rFonts w:ascii="Arial" w:hAnsi="Arial"/>
                <w:b/>
                <w:spacing w:val="-4"/>
                <w:sz w:val="14"/>
              </w:rPr>
              <w:t> </w:t>
            </w:r>
            <w:r>
              <w:rPr>
                <w:rFonts w:ascii="Arial" w:hAnsi="Arial"/>
                <w:b/>
                <w:sz w:val="14"/>
              </w:rPr>
              <w:t>antes</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impuesto</w:t>
            </w:r>
            <w:r>
              <w:rPr>
                <w:rFonts w:ascii="Arial" w:hAnsi="Arial"/>
                <w:b/>
                <w:spacing w:val="-5"/>
                <w:sz w:val="14"/>
              </w:rPr>
              <w:t> </w:t>
            </w:r>
            <w:r>
              <w:rPr>
                <w:rFonts w:ascii="Arial" w:hAnsi="Arial"/>
                <w:b/>
                <w:sz w:val="14"/>
              </w:rPr>
              <w:t>a</w:t>
            </w:r>
            <w:r>
              <w:rPr>
                <w:rFonts w:ascii="Arial" w:hAnsi="Arial"/>
                <w:b/>
                <w:spacing w:val="-6"/>
                <w:sz w:val="14"/>
              </w:rPr>
              <w:t> </w:t>
            </w:r>
            <w:r>
              <w:rPr>
                <w:rFonts w:ascii="Arial" w:hAnsi="Arial"/>
                <w:b/>
                <w:sz w:val="14"/>
              </w:rPr>
              <w:t>las</w:t>
            </w:r>
            <w:r>
              <w:rPr>
                <w:rFonts w:ascii="Arial" w:hAnsi="Arial"/>
                <w:b/>
                <w:spacing w:val="-4"/>
                <w:sz w:val="14"/>
              </w:rPr>
              <w:t> </w:t>
            </w:r>
            <w:r>
              <w:rPr>
                <w:rFonts w:ascii="Arial" w:hAnsi="Arial"/>
                <w:b/>
                <w:sz w:val="14"/>
              </w:rPr>
              <w:t>ganancias</w:t>
            </w:r>
            <w:r>
              <w:rPr>
                <w:rFonts w:ascii="Arial" w:hAnsi="Arial"/>
                <w:b/>
                <w:spacing w:val="-6"/>
                <w:sz w:val="14"/>
              </w:rPr>
              <w:t> </w:t>
            </w:r>
            <w:r>
              <w:rPr>
                <w:rFonts w:ascii="Arial" w:hAnsi="Arial"/>
                <w:b/>
                <w:sz w:val="14"/>
              </w:rPr>
              <w:t>de</w:t>
            </w:r>
            <w:r>
              <w:rPr>
                <w:rFonts w:ascii="Arial" w:hAnsi="Arial"/>
                <w:b/>
                <w:spacing w:val="-4"/>
                <w:sz w:val="14"/>
              </w:rPr>
              <w:t> </w:t>
            </w:r>
            <w:r>
              <w:rPr>
                <w:rFonts w:ascii="Arial" w:hAnsi="Arial"/>
                <w:b/>
                <w:sz w:val="14"/>
              </w:rPr>
              <w:t>operaciones</w:t>
            </w:r>
            <w:r>
              <w:rPr>
                <w:rFonts w:ascii="Arial" w:hAnsi="Arial"/>
                <w:b/>
                <w:spacing w:val="-4"/>
                <w:sz w:val="14"/>
              </w:rPr>
              <w:t> </w:t>
            </w:r>
            <w:r>
              <w:rPr>
                <w:rFonts w:ascii="Arial" w:hAnsi="Arial"/>
                <w:b/>
                <w:sz w:val="14"/>
              </w:rPr>
              <w:t>que</w:t>
            </w:r>
            <w:r>
              <w:rPr>
                <w:rFonts w:ascii="Arial" w:hAnsi="Arial"/>
                <w:b/>
                <w:spacing w:val="40"/>
                <w:sz w:val="14"/>
              </w:rPr>
              <w:t> </w:t>
            </w:r>
            <w:r>
              <w:rPr>
                <w:rFonts w:ascii="Arial" w:hAnsi="Arial"/>
                <w:b/>
                <w:spacing w:val="-2"/>
                <w:sz w:val="14"/>
              </w:rPr>
              <w:t>continúan</w:t>
            </w:r>
          </w:p>
          <w:p>
            <w:pPr>
              <w:pStyle w:val="TableParagraph"/>
              <w:spacing w:before="8"/>
              <w:ind w:left="102"/>
              <w:rPr>
                <w:sz w:val="14"/>
              </w:rPr>
            </w:pPr>
            <w:r>
              <w:rPr>
                <w:sz w:val="14"/>
              </w:rPr>
              <w:t>Impuesto</w:t>
            </w:r>
            <w:r>
              <w:rPr>
                <w:spacing w:val="-5"/>
                <w:sz w:val="14"/>
              </w:rPr>
              <w:t> </w:t>
            </w:r>
            <w:r>
              <w:rPr>
                <w:sz w:val="14"/>
              </w:rPr>
              <w:t>a</w:t>
            </w:r>
            <w:r>
              <w:rPr>
                <w:spacing w:val="-6"/>
                <w:sz w:val="14"/>
              </w:rPr>
              <w:t> </w:t>
            </w:r>
            <w:r>
              <w:rPr>
                <w:sz w:val="14"/>
              </w:rPr>
              <w:t>las</w:t>
            </w:r>
            <w:r>
              <w:rPr>
                <w:spacing w:val="-4"/>
                <w:sz w:val="14"/>
              </w:rPr>
              <w:t> </w:t>
            </w:r>
            <w:r>
              <w:rPr>
                <w:sz w:val="14"/>
              </w:rPr>
              <w:t>ganancias</w:t>
            </w:r>
            <w:r>
              <w:rPr>
                <w:spacing w:val="-5"/>
                <w:sz w:val="14"/>
              </w:rPr>
              <w:t> </w:t>
            </w:r>
            <w:r>
              <w:rPr>
                <w:sz w:val="14"/>
              </w:rPr>
              <w:t>(Nota</w:t>
            </w:r>
            <w:r>
              <w:rPr>
                <w:spacing w:val="-4"/>
                <w:sz w:val="14"/>
              </w:rPr>
              <w:t> </w:t>
            </w:r>
            <w:r>
              <w:rPr>
                <w:spacing w:val="-5"/>
                <w:sz w:val="14"/>
              </w:rPr>
              <w:t>7)</w:t>
            </w:r>
          </w:p>
          <w:p>
            <w:pPr>
              <w:pStyle w:val="TableParagraph"/>
              <w:spacing w:line="145" w:lineRule="exact" w:before="10"/>
              <w:ind w:left="102"/>
              <w:rPr>
                <w:rFonts w:ascii="Arial" w:hAnsi="Arial"/>
                <w:b/>
                <w:sz w:val="14"/>
              </w:rPr>
            </w:pPr>
            <w:r>
              <w:rPr>
                <w:rFonts w:ascii="Arial" w:hAnsi="Arial"/>
                <w:b/>
                <w:sz w:val="14"/>
              </w:rPr>
              <w:t>Ganancia</w:t>
            </w:r>
            <w:r>
              <w:rPr>
                <w:rFonts w:ascii="Arial" w:hAnsi="Arial"/>
                <w:b/>
                <w:spacing w:val="-7"/>
                <w:sz w:val="14"/>
              </w:rPr>
              <w:t> </w:t>
            </w:r>
            <w:r>
              <w:rPr>
                <w:rFonts w:ascii="Arial" w:hAnsi="Arial"/>
                <w:b/>
                <w:sz w:val="14"/>
              </w:rPr>
              <w:t>(pérdida)</w:t>
            </w:r>
            <w:r>
              <w:rPr>
                <w:rFonts w:ascii="Arial" w:hAnsi="Arial"/>
                <w:b/>
                <w:spacing w:val="-4"/>
                <w:sz w:val="14"/>
              </w:rPr>
              <w:t> </w:t>
            </w:r>
            <w:r>
              <w:rPr>
                <w:rFonts w:ascii="Arial" w:hAnsi="Arial"/>
                <w:b/>
                <w:sz w:val="14"/>
              </w:rPr>
              <w:t>de</w:t>
            </w:r>
            <w:r>
              <w:rPr>
                <w:rFonts w:ascii="Arial" w:hAnsi="Arial"/>
                <w:b/>
                <w:spacing w:val="-7"/>
                <w:sz w:val="14"/>
              </w:rPr>
              <w:t> </w:t>
            </w:r>
            <w:r>
              <w:rPr>
                <w:rFonts w:ascii="Arial" w:hAnsi="Arial"/>
                <w:b/>
                <w:sz w:val="14"/>
              </w:rPr>
              <w:t>las</w:t>
            </w:r>
            <w:r>
              <w:rPr>
                <w:rFonts w:ascii="Arial" w:hAnsi="Arial"/>
                <w:b/>
                <w:spacing w:val="-4"/>
                <w:sz w:val="14"/>
              </w:rPr>
              <w:t> </w:t>
            </w:r>
            <w:r>
              <w:rPr>
                <w:rFonts w:ascii="Arial" w:hAnsi="Arial"/>
                <w:b/>
                <w:sz w:val="14"/>
              </w:rPr>
              <w:t>operaciones</w:t>
            </w:r>
            <w:r>
              <w:rPr>
                <w:rFonts w:ascii="Arial" w:hAnsi="Arial"/>
                <w:b/>
                <w:spacing w:val="-5"/>
                <w:sz w:val="14"/>
              </w:rPr>
              <w:t> </w:t>
            </w:r>
            <w:r>
              <w:rPr>
                <w:rFonts w:ascii="Arial" w:hAnsi="Arial"/>
                <w:b/>
                <w:sz w:val="14"/>
              </w:rPr>
              <w:t>que</w:t>
            </w:r>
            <w:r>
              <w:rPr>
                <w:rFonts w:ascii="Arial" w:hAnsi="Arial"/>
                <w:b/>
                <w:spacing w:val="-6"/>
                <w:sz w:val="14"/>
              </w:rPr>
              <w:t> </w:t>
            </w:r>
            <w:r>
              <w:rPr>
                <w:rFonts w:ascii="Arial" w:hAnsi="Arial"/>
                <w:b/>
                <w:spacing w:val="-2"/>
                <w:sz w:val="14"/>
              </w:rPr>
              <w:t>continúan</w:t>
            </w:r>
          </w:p>
        </w:tc>
        <w:tc>
          <w:tcPr>
            <w:tcW w:w="1038" w:type="dxa"/>
            <w:vMerge/>
            <w:tcBorders>
              <w:top w:val="nil"/>
            </w:tcBorders>
          </w:tcPr>
          <w:p>
            <w:pPr>
              <w:rPr>
                <w:sz w:val="2"/>
                <w:szCs w:val="2"/>
              </w:rPr>
            </w:pPr>
          </w:p>
        </w:tc>
        <w:tc>
          <w:tcPr>
            <w:tcW w:w="1035" w:type="dxa"/>
            <w:vMerge/>
            <w:tcBorders>
              <w:top w:val="nil"/>
            </w:tcBorders>
          </w:tcPr>
          <w:p>
            <w:pPr>
              <w:rPr>
                <w:sz w:val="2"/>
                <w:szCs w:val="2"/>
              </w:rPr>
            </w:pPr>
          </w:p>
        </w:tc>
      </w:tr>
      <w:tr>
        <w:trPr>
          <w:trHeight w:val="333"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4"/>
              </w:rPr>
            </w:pPr>
          </w:p>
        </w:tc>
        <w:tc>
          <w:tcPr>
            <w:tcW w:w="1035" w:type="dxa"/>
          </w:tcPr>
          <w:p>
            <w:pPr>
              <w:pStyle w:val="TableParagraph"/>
              <w:rPr>
                <w:rFonts w:ascii="Times New Roman"/>
                <w:sz w:val="14"/>
              </w:rPr>
            </w:pPr>
          </w:p>
        </w:tc>
      </w:tr>
      <w:tr>
        <w:trPr>
          <w:trHeight w:val="170"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0" w:hRule="exact"/>
        </w:trPr>
        <w:tc>
          <w:tcPr>
            <w:tcW w:w="497" w:type="dxa"/>
            <w:vMerge/>
            <w:tcBorders>
              <w:top w:val="nil"/>
              <w:bottom w:val="nil"/>
            </w:tcBorders>
          </w:tcPr>
          <w:p>
            <w:pPr>
              <w:rPr>
                <w:sz w:val="2"/>
                <w:szCs w:val="2"/>
              </w:rPr>
            </w:pPr>
          </w:p>
        </w:tc>
        <w:tc>
          <w:tcPr>
            <w:tcW w:w="5891" w:type="dxa"/>
            <w:vMerge/>
            <w:tcBorders>
              <w:top w:val="nil"/>
              <w:bottom w:val="nil"/>
            </w:tcBorders>
          </w:tcPr>
          <w:p>
            <w:pPr>
              <w:rPr>
                <w:sz w:val="2"/>
                <w:szCs w:val="2"/>
              </w:rPr>
            </w:pP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0" w:hRule="exact"/>
        </w:trPr>
        <w:tc>
          <w:tcPr>
            <w:tcW w:w="497" w:type="dxa"/>
            <w:tcBorders>
              <w:top w:val="nil"/>
              <w:bottom w:val="nil"/>
            </w:tcBorders>
          </w:tcPr>
          <w:p>
            <w:pPr>
              <w:pStyle w:val="TableParagraph"/>
              <w:spacing w:line="145" w:lineRule="exact" w:before="5"/>
              <w:ind w:left="22" w:right="19"/>
              <w:jc w:val="center"/>
              <w:rPr>
                <w:sz w:val="14"/>
              </w:rPr>
            </w:pPr>
            <w:r>
              <w:rPr>
                <w:spacing w:val="-5"/>
                <w:sz w:val="14"/>
              </w:rPr>
              <w:t>(7)</w:t>
            </w:r>
          </w:p>
        </w:tc>
        <w:tc>
          <w:tcPr>
            <w:tcW w:w="5891" w:type="dxa"/>
            <w:tcBorders>
              <w:top w:val="nil"/>
              <w:bottom w:val="nil"/>
            </w:tcBorders>
          </w:tcPr>
          <w:p>
            <w:pPr>
              <w:pStyle w:val="TableParagraph"/>
              <w:spacing w:line="145" w:lineRule="exact" w:before="5"/>
              <w:ind w:left="102"/>
              <w:rPr>
                <w:sz w:val="14"/>
              </w:rPr>
            </w:pPr>
            <w:r>
              <w:rPr>
                <w:sz w:val="14"/>
              </w:rPr>
              <w:t>Resultado</w:t>
            </w:r>
            <w:r>
              <w:rPr>
                <w:spacing w:val="-8"/>
                <w:sz w:val="14"/>
              </w:rPr>
              <w:t> </w:t>
            </w:r>
            <w:r>
              <w:rPr>
                <w:sz w:val="14"/>
              </w:rPr>
              <w:t>por</w:t>
            </w:r>
            <w:r>
              <w:rPr>
                <w:spacing w:val="-6"/>
                <w:sz w:val="14"/>
              </w:rPr>
              <w:t> </w:t>
            </w:r>
            <w:r>
              <w:rPr>
                <w:sz w:val="14"/>
              </w:rPr>
              <w:t>actividades</w:t>
            </w:r>
            <w:r>
              <w:rPr>
                <w:spacing w:val="-6"/>
                <w:sz w:val="14"/>
              </w:rPr>
              <w:t> </w:t>
            </w:r>
            <w:r>
              <w:rPr>
                <w:sz w:val="14"/>
              </w:rPr>
              <w:t>u</w:t>
            </w:r>
            <w:r>
              <w:rPr>
                <w:spacing w:val="-6"/>
                <w:sz w:val="14"/>
              </w:rPr>
              <w:t> </w:t>
            </w:r>
            <w:r>
              <w:rPr>
                <w:sz w:val="14"/>
              </w:rPr>
              <w:t>operaciones</w:t>
            </w:r>
            <w:r>
              <w:rPr>
                <w:spacing w:val="-7"/>
                <w:sz w:val="14"/>
              </w:rPr>
              <w:t> </w:t>
            </w:r>
            <w:r>
              <w:rPr>
                <w:sz w:val="14"/>
              </w:rPr>
              <w:t>discontinuadas</w:t>
            </w:r>
            <w:r>
              <w:rPr>
                <w:spacing w:val="-4"/>
                <w:sz w:val="14"/>
              </w:rPr>
              <w:t> </w:t>
            </w:r>
            <w:r>
              <w:rPr>
                <w:sz w:val="14"/>
              </w:rPr>
              <w:t>(o</w:t>
            </w:r>
            <w:r>
              <w:rPr>
                <w:spacing w:val="-6"/>
                <w:sz w:val="14"/>
              </w:rPr>
              <w:t> </w:t>
            </w:r>
            <w:r>
              <w:rPr>
                <w:sz w:val="14"/>
              </w:rPr>
              <w:t>en</w:t>
            </w:r>
            <w:r>
              <w:rPr>
                <w:spacing w:val="-5"/>
                <w:sz w:val="14"/>
              </w:rPr>
              <w:t> </w:t>
            </w:r>
            <w:r>
              <w:rPr>
                <w:sz w:val="14"/>
              </w:rPr>
              <w:t>discontinuación)</w:t>
            </w:r>
            <w:r>
              <w:rPr>
                <w:spacing w:val="-6"/>
                <w:sz w:val="14"/>
              </w:rPr>
              <w:t> </w:t>
            </w:r>
            <w:r>
              <w:rPr>
                <w:sz w:val="14"/>
              </w:rPr>
              <w:t>(Nota</w:t>
            </w:r>
            <w:r>
              <w:rPr>
                <w:spacing w:val="-8"/>
                <w:sz w:val="14"/>
              </w:rPr>
              <w:t> </w:t>
            </w:r>
            <w:r>
              <w:rPr>
                <w:spacing w:val="-4"/>
                <w:sz w:val="14"/>
              </w:rPr>
              <w:t>3.8)</w:t>
            </w:r>
          </w:p>
        </w:tc>
        <w:tc>
          <w:tcPr>
            <w:tcW w:w="1038" w:type="dxa"/>
          </w:tcPr>
          <w:p>
            <w:pPr>
              <w:pStyle w:val="TableParagraph"/>
              <w:rPr>
                <w:rFonts w:ascii="Times New Roman"/>
                <w:sz w:val="10"/>
              </w:rPr>
            </w:pPr>
          </w:p>
        </w:tc>
        <w:tc>
          <w:tcPr>
            <w:tcW w:w="1035" w:type="dxa"/>
          </w:tcPr>
          <w:p>
            <w:pPr>
              <w:pStyle w:val="TableParagraph"/>
              <w:rPr>
                <w:rFonts w:ascii="Times New Roman"/>
                <w:sz w:val="10"/>
              </w:rPr>
            </w:pPr>
          </w:p>
        </w:tc>
      </w:tr>
      <w:tr>
        <w:trPr>
          <w:trHeight w:val="172" w:hRule="exact"/>
        </w:trPr>
        <w:tc>
          <w:tcPr>
            <w:tcW w:w="497" w:type="dxa"/>
            <w:tcBorders>
              <w:top w:val="nil"/>
            </w:tcBorders>
          </w:tcPr>
          <w:p>
            <w:pPr>
              <w:pStyle w:val="TableParagraph"/>
              <w:rPr>
                <w:rFonts w:ascii="Times New Roman"/>
                <w:sz w:val="10"/>
              </w:rPr>
            </w:pPr>
          </w:p>
        </w:tc>
        <w:tc>
          <w:tcPr>
            <w:tcW w:w="5891" w:type="dxa"/>
            <w:tcBorders>
              <w:top w:val="nil"/>
            </w:tcBorders>
          </w:tcPr>
          <w:p>
            <w:pPr>
              <w:pStyle w:val="TableParagraph"/>
              <w:spacing w:line="140" w:lineRule="exact" w:before="8"/>
              <w:ind w:left="102"/>
              <w:rPr>
                <w:rFonts w:ascii="Arial" w:hAnsi="Arial"/>
                <w:b/>
                <w:sz w:val="14"/>
              </w:rPr>
            </w:pPr>
            <w:r>
              <w:rPr>
                <w:rFonts w:ascii="Arial" w:hAnsi="Arial"/>
                <w:b/>
                <w:sz w:val="14"/>
              </w:rPr>
              <w:t>Ganancia</w:t>
            </w:r>
            <w:r>
              <w:rPr>
                <w:rFonts w:ascii="Arial" w:hAnsi="Arial"/>
                <w:b/>
                <w:spacing w:val="-8"/>
                <w:sz w:val="14"/>
              </w:rPr>
              <w:t> </w:t>
            </w:r>
            <w:r>
              <w:rPr>
                <w:rFonts w:ascii="Arial" w:hAnsi="Arial"/>
                <w:b/>
                <w:sz w:val="14"/>
              </w:rPr>
              <w:t>(pérdida)</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pacing w:val="-2"/>
                <w:sz w:val="14"/>
              </w:rPr>
              <w:t>ejercicio</w:t>
            </w:r>
          </w:p>
        </w:tc>
        <w:tc>
          <w:tcPr>
            <w:tcW w:w="1038" w:type="dxa"/>
            <w:shd w:val="clear" w:color="auto" w:fill="F1F1F1"/>
          </w:tcPr>
          <w:p>
            <w:pPr>
              <w:pStyle w:val="TableParagraph"/>
              <w:rPr>
                <w:rFonts w:ascii="Times New Roman"/>
                <w:sz w:val="10"/>
              </w:rPr>
            </w:pPr>
          </w:p>
        </w:tc>
        <w:tc>
          <w:tcPr>
            <w:tcW w:w="1035" w:type="dxa"/>
            <w:shd w:val="clear" w:color="auto" w:fill="F1F1F1"/>
          </w:tcPr>
          <w:p>
            <w:pPr>
              <w:pStyle w:val="TableParagraph"/>
              <w:rPr>
                <w:rFonts w:ascii="Times New Roman"/>
                <w:sz w:val="10"/>
              </w:rPr>
            </w:pPr>
          </w:p>
        </w:tc>
      </w:tr>
    </w:tbl>
    <w:p>
      <w:pPr>
        <w:pStyle w:val="BodyText"/>
        <w:spacing w:before="9"/>
        <w:ind w:left="0"/>
        <w:jc w:val="left"/>
        <w:rPr>
          <w:rFonts w:ascii="Arial"/>
          <w:b/>
        </w:rPr>
      </w:pPr>
    </w:p>
    <w:p>
      <w:pPr>
        <w:spacing w:before="0"/>
        <w:ind w:left="2"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1"/>
        </w:numPr>
        <w:tabs>
          <w:tab w:pos="361" w:val="left" w:leader="none"/>
        </w:tabs>
        <w:spacing w:line="240" w:lineRule="auto" w:before="1" w:after="0"/>
        <w:ind w:left="361" w:right="137" w:hanging="360"/>
        <w:jc w:val="both"/>
        <w:rPr>
          <w:sz w:val="16"/>
        </w:rPr>
      </w:pPr>
      <w:r>
        <w:rPr>
          <w:sz w:val="16"/>
        </w:rPr>
        <w:t>Este modelo resulta de aplicación cuando la actividad agropecuaria sea la predominante respecto del conjunto de las restantes actividades. El resultado de la producción agropecuaria se presenta en primer lugar (RT 54, párr. </w:t>
      </w:r>
      <w:r>
        <w:rPr>
          <w:spacing w:val="-2"/>
          <w:sz w:val="16"/>
        </w:rPr>
        <w:t>1034).</w:t>
      </w:r>
    </w:p>
    <w:p>
      <w:pPr>
        <w:pStyle w:val="ListParagraph"/>
        <w:numPr>
          <w:ilvl w:val="0"/>
          <w:numId w:val="1"/>
        </w:numPr>
        <w:tabs>
          <w:tab w:pos="361" w:val="left" w:leader="none"/>
        </w:tabs>
        <w:spacing w:line="240" w:lineRule="auto" w:before="0" w:after="0"/>
        <w:ind w:left="361" w:right="135" w:hanging="360"/>
        <w:jc w:val="both"/>
        <w:rPr>
          <w:sz w:val="16"/>
        </w:rPr>
      </w:pPr>
      <w:r>
        <w:rPr>
          <w:sz w:val="16"/>
        </w:rPr>
        <w:t>En el ejemplo, dentro de la línea “Ingresos netos por la venta de bienes y prestación de servicios” se incluyen reintegros y desgravaciones. Tales conceptos, cuando dependan tanto de las ventas como de su costo, se presentan por separado en la medida en que no pueda discriminarse la parte atribuible a las ventas de la parte atribuible</w:t>
      </w:r>
      <w:r>
        <w:rPr>
          <w:spacing w:val="-1"/>
          <w:sz w:val="16"/>
        </w:rPr>
        <w:t> </w:t>
      </w:r>
      <w:r>
        <w:rPr>
          <w:sz w:val="16"/>
        </w:rPr>
        <w:t>al</w:t>
      </w:r>
      <w:r>
        <w:rPr>
          <w:spacing w:val="-2"/>
          <w:sz w:val="16"/>
        </w:rPr>
        <w:t> </w:t>
      </w:r>
      <w:r>
        <w:rPr>
          <w:sz w:val="16"/>
        </w:rPr>
        <w:t>costo</w:t>
      </w:r>
      <w:r>
        <w:rPr>
          <w:spacing w:val="-4"/>
          <w:sz w:val="16"/>
        </w:rPr>
        <w:t> </w:t>
      </w:r>
      <w:r>
        <w:rPr>
          <w:sz w:val="16"/>
        </w:rPr>
        <w:t>de</w:t>
      </w:r>
      <w:r>
        <w:rPr>
          <w:spacing w:val="-6"/>
          <w:sz w:val="16"/>
        </w:rPr>
        <w:t> </w:t>
      </w:r>
      <w:r>
        <w:rPr>
          <w:sz w:val="16"/>
        </w:rPr>
        <w:t>ventas (párr.</w:t>
      </w:r>
      <w:r>
        <w:rPr>
          <w:spacing w:val="-4"/>
          <w:sz w:val="16"/>
        </w:rPr>
        <w:t> </w:t>
      </w:r>
      <w:r>
        <w:rPr>
          <w:sz w:val="16"/>
        </w:rPr>
        <w:t>630A).</w:t>
      </w:r>
      <w:r>
        <w:rPr>
          <w:spacing w:val="-2"/>
          <w:sz w:val="16"/>
        </w:rPr>
        <w:t> </w:t>
      </w:r>
      <w:r>
        <w:rPr>
          <w:sz w:val="16"/>
        </w:rPr>
        <w:t>En</w:t>
      </w:r>
      <w:r>
        <w:rPr>
          <w:spacing w:val="-6"/>
          <w:sz w:val="16"/>
        </w:rPr>
        <w:t> </w:t>
      </w:r>
      <w:r>
        <w:rPr>
          <w:sz w:val="16"/>
        </w:rPr>
        <w:t>caso</w:t>
      </w:r>
      <w:r>
        <w:rPr>
          <w:spacing w:val="-4"/>
          <w:sz w:val="16"/>
        </w:rPr>
        <w:t> </w:t>
      </w:r>
      <w:r>
        <w:rPr>
          <w:sz w:val="16"/>
        </w:rPr>
        <w:t>de</w:t>
      </w:r>
      <w:r>
        <w:rPr>
          <w:spacing w:val="-4"/>
          <w:sz w:val="16"/>
        </w:rPr>
        <w:t> </w:t>
      </w:r>
      <w:r>
        <w:rPr>
          <w:sz w:val="16"/>
        </w:rPr>
        <w:t>que</w:t>
      </w:r>
      <w:r>
        <w:rPr>
          <w:spacing w:val="-4"/>
          <w:sz w:val="16"/>
        </w:rPr>
        <w:t> </w:t>
      </w:r>
      <w:r>
        <w:rPr>
          <w:sz w:val="16"/>
        </w:rPr>
        <w:t>tal</w:t>
      </w:r>
      <w:r>
        <w:rPr>
          <w:spacing w:val="-3"/>
          <w:sz w:val="16"/>
        </w:rPr>
        <w:t> </w:t>
      </w:r>
      <w:r>
        <w:rPr>
          <w:sz w:val="16"/>
        </w:rPr>
        <w:t>discriminación</w:t>
      </w:r>
      <w:r>
        <w:rPr>
          <w:spacing w:val="-4"/>
          <w:sz w:val="16"/>
        </w:rPr>
        <w:t> </w:t>
      </w:r>
      <w:r>
        <w:rPr>
          <w:sz w:val="16"/>
        </w:rPr>
        <w:t>fuera</w:t>
      </w:r>
      <w:r>
        <w:rPr>
          <w:spacing w:val="-1"/>
          <w:sz w:val="16"/>
        </w:rPr>
        <w:t> </w:t>
      </w:r>
      <w:r>
        <w:rPr>
          <w:sz w:val="16"/>
        </w:rPr>
        <w:t>posible,</w:t>
      </w:r>
      <w:r>
        <w:rPr>
          <w:spacing w:val="-2"/>
          <w:sz w:val="16"/>
        </w:rPr>
        <w:t> </w:t>
      </w:r>
      <w:r>
        <w:rPr>
          <w:sz w:val="16"/>
        </w:rPr>
        <w:t>deberá</w:t>
      </w:r>
      <w:r>
        <w:rPr>
          <w:spacing w:val="-1"/>
          <w:sz w:val="16"/>
        </w:rPr>
        <w:t> </w:t>
      </w:r>
      <w:r>
        <w:rPr>
          <w:sz w:val="16"/>
        </w:rPr>
        <w:t>asignarse</w:t>
      </w:r>
      <w:r>
        <w:rPr>
          <w:spacing w:val="-1"/>
          <w:sz w:val="16"/>
        </w:rPr>
        <w:t> </w:t>
      </w:r>
      <w:r>
        <w:rPr>
          <w:sz w:val="16"/>
        </w:rPr>
        <w:t>a</w:t>
      </w:r>
      <w:r>
        <w:rPr>
          <w:spacing w:val="-6"/>
          <w:sz w:val="16"/>
        </w:rPr>
        <w:t> </w:t>
      </w:r>
      <w:r>
        <w:rPr>
          <w:sz w:val="16"/>
        </w:rPr>
        <w:t>cada una de esas partidas.</w:t>
      </w:r>
    </w:p>
    <w:p>
      <w:pPr>
        <w:pStyle w:val="BodyText"/>
        <w:ind w:right="134"/>
      </w:pPr>
      <w:r>
        <w:rPr/>
        <w:t>En esta línea debería incluirse la contrapartida de los derechos de facturar a clientes que reconocen aquellas entidades que miden los ingresos de actividades ordinarias considerando el grado de avance de la producción, construcción o prestación de servicios.</w:t>
      </w:r>
    </w:p>
    <w:p>
      <w:pPr>
        <w:pStyle w:val="ListParagraph"/>
        <w:numPr>
          <w:ilvl w:val="0"/>
          <w:numId w:val="1"/>
        </w:numPr>
        <w:tabs>
          <w:tab w:pos="361" w:val="left" w:leader="none"/>
        </w:tabs>
        <w:spacing w:line="240" w:lineRule="auto" w:before="0" w:after="0"/>
        <w:ind w:left="361" w:right="143" w:hanging="360"/>
        <w:jc w:val="both"/>
        <w:rPr>
          <w:sz w:val="16"/>
        </w:rPr>
      </w:pPr>
      <w:r>
        <w:rPr>
          <w:sz w:val="16"/>
        </w:rPr>
        <w:t>Este</w:t>
      </w:r>
      <w:r>
        <w:rPr>
          <w:spacing w:val="-7"/>
          <w:sz w:val="16"/>
        </w:rPr>
        <w:t> </w:t>
      </w:r>
      <w:r>
        <w:rPr>
          <w:sz w:val="16"/>
        </w:rPr>
        <w:t>resultado</w:t>
      </w:r>
      <w:r>
        <w:rPr>
          <w:spacing w:val="-9"/>
          <w:sz w:val="16"/>
        </w:rPr>
        <w:t> </w:t>
      </w:r>
      <w:r>
        <w:rPr>
          <w:sz w:val="16"/>
        </w:rPr>
        <w:t>se</w:t>
      </w:r>
      <w:r>
        <w:rPr>
          <w:spacing w:val="-7"/>
          <w:sz w:val="16"/>
        </w:rPr>
        <w:t> </w:t>
      </w:r>
      <w:r>
        <w:rPr>
          <w:sz w:val="16"/>
        </w:rPr>
        <w:t>reconoce</w:t>
      </w:r>
      <w:r>
        <w:rPr>
          <w:spacing w:val="-9"/>
          <w:sz w:val="16"/>
        </w:rPr>
        <w:t> </w:t>
      </w:r>
      <w:r>
        <w:rPr>
          <w:sz w:val="16"/>
        </w:rPr>
        <w:t>cuando</w:t>
      </w:r>
      <w:r>
        <w:rPr>
          <w:spacing w:val="-7"/>
          <w:sz w:val="16"/>
        </w:rPr>
        <w:t> </w:t>
      </w:r>
      <w:r>
        <w:rPr>
          <w:sz w:val="16"/>
        </w:rPr>
        <w:t>la</w:t>
      </w:r>
      <w:r>
        <w:rPr>
          <w:spacing w:val="-6"/>
          <w:sz w:val="16"/>
        </w:rPr>
        <w:t> </w:t>
      </w:r>
      <w:r>
        <w:rPr>
          <w:sz w:val="16"/>
        </w:rPr>
        <w:t>entidad</w:t>
      </w:r>
      <w:r>
        <w:rPr>
          <w:spacing w:val="-7"/>
          <w:sz w:val="16"/>
        </w:rPr>
        <w:t> </w:t>
      </w:r>
      <w:r>
        <w:rPr>
          <w:sz w:val="16"/>
        </w:rPr>
        <w:t>mide</w:t>
      </w:r>
      <w:r>
        <w:rPr>
          <w:spacing w:val="-9"/>
          <w:sz w:val="16"/>
        </w:rPr>
        <w:t> </w:t>
      </w:r>
      <w:r>
        <w:rPr>
          <w:sz w:val="16"/>
        </w:rPr>
        <w:t>sus</w:t>
      </w:r>
      <w:r>
        <w:rPr>
          <w:spacing w:val="-7"/>
          <w:sz w:val="16"/>
        </w:rPr>
        <w:t> </w:t>
      </w:r>
      <w:r>
        <w:rPr>
          <w:sz w:val="16"/>
        </w:rPr>
        <w:t>productos</w:t>
      </w:r>
      <w:r>
        <w:rPr>
          <w:spacing w:val="-5"/>
          <w:sz w:val="16"/>
        </w:rPr>
        <w:t> </w:t>
      </w:r>
      <w:r>
        <w:rPr>
          <w:sz w:val="16"/>
        </w:rPr>
        <w:t>agropecuarios</w:t>
      </w:r>
      <w:r>
        <w:rPr>
          <w:spacing w:val="-5"/>
          <w:sz w:val="16"/>
        </w:rPr>
        <w:t> </w:t>
      </w:r>
      <w:r>
        <w:rPr>
          <w:sz w:val="16"/>
        </w:rPr>
        <w:t>a</w:t>
      </w:r>
      <w:r>
        <w:rPr>
          <w:spacing w:val="-9"/>
          <w:sz w:val="16"/>
        </w:rPr>
        <w:t> </w:t>
      </w:r>
      <w:r>
        <w:rPr>
          <w:sz w:val="16"/>
        </w:rPr>
        <w:t>valor</w:t>
      </w:r>
      <w:r>
        <w:rPr>
          <w:spacing w:val="-9"/>
          <w:sz w:val="16"/>
        </w:rPr>
        <w:t> </w:t>
      </w:r>
      <w:r>
        <w:rPr>
          <w:sz w:val="16"/>
        </w:rPr>
        <w:t>neto</w:t>
      </w:r>
      <w:r>
        <w:rPr>
          <w:spacing w:val="-7"/>
          <w:sz w:val="16"/>
        </w:rPr>
        <w:t> </w:t>
      </w:r>
      <w:r>
        <w:rPr>
          <w:sz w:val="16"/>
        </w:rPr>
        <w:t>de</w:t>
      </w:r>
      <w:r>
        <w:rPr>
          <w:spacing w:val="-9"/>
          <w:sz w:val="16"/>
        </w:rPr>
        <w:t> </w:t>
      </w:r>
      <w:r>
        <w:rPr>
          <w:sz w:val="16"/>
        </w:rPr>
        <w:t>realización</w:t>
      </w:r>
      <w:r>
        <w:rPr>
          <w:spacing w:val="-7"/>
          <w:sz w:val="16"/>
        </w:rPr>
        <w:t> </w:t>
      </w:r>
      <w:r>
        <w:rPr>
          <w:sz w:val="16"/>
        </w:rPr>
        <w:t>(RT</w:t>
      </w:r>
      <w:r>
        <w:rPr>
          <w:spacing w:val="-8"/>
          <w:sz w:val="16"/>
        </w:rPr>
        <w:t> </w:t>
      </w:r>
      <w:r>
        <w:rPr>
          <w:sz w:val="16"/>
        </w:rPr>
        <w:t>54, párr. 295).</w:t>
      </w:r>
    </w:p>
    <w:p>
      <w:pPr>
        <w:pStyle w:val="ListParagraph"/>
        <w:numPr>
          <w:ilvl w:val="0"/>
          <w:numId w:val="1"/>
        </w:numPr>
        <w:tabs>
          <w:tab w:pos="361" w:val="left" w:leader="none"/>
        </w:tabs>
        <w:spacing w:line="240" w:lineRule="auto" w:before="0" w:after="0"/>
        <w:ind w:left="361" w:right="140" w:hanging="360"/>
        <w:jc w:val="both"/>
        <w:rPr>
          <w:sz w:val="16"/>
        </w:rPr>
      </w:pPr>
      <w:r>
        <w:rPr>
          <w:sz w:val="16"/>
        </w:rPr>
        <w:t>En</w:t>
      </w:r>
      <w:r>
        <w:rPr>
          <w:spacing w:val="-1"/>
          <w:sz w:val="16"/>
        </w:rPr>
        <w:t> </w:t>
      </w:r>
      <w:r>
        <w:rPr>
          <w:sz w:val="16"/>
        </w:rPr>
        <w:t>la</w:t>
      </w:r>
      <w:r>
        <w:rPr>
          <w:spacing w:val="-3"/>
          <w:sz w:val="16"/>
        </w:rPr>
        <w:t> </w:t>
      </w:r>
      <w:r>
        <w:rPr>
          <w:sz w:val="16"/>
        </w:rPr>
        <w:t>línea</w:t>
      </w:r>
      <w:r>
        <w:rPr>
          <w:spacing w:val="-3"/>
          <w:sz w:val="16"/>
        </w:rPr>
        <w:t> </w:t>
      </w:r>
      <w:r>
        <w:rPr>
          <w:sz w:val="16"/>
        </w:rPr>
        <w:t>“Otros</w:t>
      </w:r>
      <w:r>
        <w:rPr>
          <w:spacing w:val="-1"/>
          <w:sz w:val="16"/>
        </w:rPr>
        <w:t> </w:t>
      </w:r>
      <w:r>
        <w:rPr>
          <w:sz w:val="16"/>
        </w:rPr>
        <w:t>gastos operativos”</w:t>
      </w:r>
      <w:r>
        <w:rPr>
          <w:spacing w:val="-3"/>
          <w:sz w:val="16"/>
        </w:rPr>
        <w:t> </w:t>
      </w:r>
      <w:r>
        <w:rPr>
          <w:sz w:val="16"/>
        </w:rPr>
        <w:t>se</w:t>
      </w:r>
      <w:r>
        <w:rPr>
          <w:spacing w:val="-1"/>
          <w:sz w:val="16"/>
        </w:rPr>
        <w:t> </w:t>
      </w:r>
      <w:r>
        <w:rPr>
          <w:sz w:val="16"/>
        </w:rPr>
        <w:t>incluyen, por</w:t>
      </w:r>
      <w:r>
        <w:rPr>
          <w:spacing w:val="-3"/>
          <w:sz w:val="16"/>
        </w:rPr>
        <w:t> </w:t>
      </w:r>
      <w:r>
        <w:rPr>
          <w:sz w:val="16"/>
        </w:rPr>
        <w:t>ejemplo, las</w:t>
      </w:r>
      <w:r>
        <w:rPr>
          <w:spacing w:val="-1"/>
          <w:sz w:val="16"/>
        </w:rPr>
        <w:t> </w:t>
      </w:r>
      <w:r>
        <w:rPr>
          <w:sz w:val="16"/>
        </w:rPr>
        <w:t>pérdidas derivadas de</w:t>
      </w:r>
      <w:r>
        <w:rPr>
          <w:spacing w:val="-3"/>
          <w:sz w:val="16"/>
        </w:rPr>
        <w:t> </w:t>
      </w:r>
      <w:r>
        <w:rPr>
          <w:sz w:val="16"/>
        </w:rPr>
        <w:t>improductividades físicas o ineficiencias en el uso de los factores y de la ociosidad por operar debajo del nivel de actividad normal (RT 54, párr. 309).</w:t>
      </w:r>
    </w:p>
    <w:p>
      <w:pPr>
        <w:pStyle w:val="ListParagraph"/>
        <w:numPr>
          <w:ilvl w:val="0"/>
          <w:numId w:val="1"/>
        </w:numPr>
        <w:tabs>
          <w:tab w:pos="361" w:val="left" w:leader="none"/>
        </w:tabs>
        <w:spacing w:line="240" w:lineRule="auto" w:before="0" w:after="0"/>
        <w:ind w:left="361" w:right="133" w:hanging="360"/>
        <w:jc w:val="both"/>
        <w:rPr>
          <w:sz w:val="16"/>
        </w:rPr>
      </w:pPr>
      <w:r>
        <w:rPr>
          <w:sz w:val="16"/>
        </w:rPr>
        <w:t>Una entidad podría presentar los resultados financieros y por</w:t>
      </w:r>
      <w:r>
        <w:rPr>
          <w:spacing w:val="-1"/>
          <w:sz w:val="16"/>
        </w:rPr>
        <w:t> </w:t>
      </w:r>
      <w:r>
        <w:rPr>
          <w:sz w:val="16"/>
        </w:rPr>
        <w:t>tenencia relacionados con las actividades ordinarias (por ejemplo, el resultado por tenencia de bienes de cambio) fuera de la línea “Otros resultados financieros y por tenencia (incluyendo el resultado por los cambios en el poder adquisitivo de la moneda)” (RT 54, párr. 631).</w:t>
      </w:r>
    </w:p>
    <w:p>
      <w:pPr>
        <w:pStyle w:val="BodyText"/>
        <w:ind w:right="140"/>
      </w:pPr>
      <w:r>
        <w:rPr/>
        <w:t>En el modelo, los otros resultados financieros y por tenencia (incluyendo el resultado por cambios en el poder adquisitivo de la moneda) se exponen en una sola línea. Una entidad podría optar por presentarlos en forma más depurada (RT 54, párr. 632 a 634).</w:t>
      </w:r>
    </w:p>
    <w:p>
      <w:pPr>
        <w:pStyle w:val="ListParagraph"/>
        <w:numPr>
          <w:ilvl w:val="0"/>
          <w:numId w:val="1"/>
        </w:numPr>
        <w:tabs>
          <w:tab w:pos="361" w:val="left" w:leader="none"/>
        </w:tabs>
        <w:spacing w:line="240" w:lineRule="auto" w:before="0" w:after="0"/>
        <w:ind w:left="361" w:right="0" w:hanging="359"/>
        <w:jc w:val="both"/>
        <w:rPr>
          <w:sz w:val="16"/>
        </w:rPr>
      </w:pPr>
      <w:r>
        <w:rPr>
          <w:sz w:val="16"/>
        </w:rPr>
        <w:t>En</w:t>
      </w:r>
      <w:r>
        <w:rPr>
          <w:spacing w:val="-7"/>
          <w:sz w:val="16"/>
        </w:rPr>
        <w:t> </w:t>
      </w:r>
      <w:r>
        <w:rPr>
          <w:sz w:val="16"/>
        </w:rPr>
        <w:t>el</w:t>
      </w:r>
      <w:r>
        <w:rPr>
          <w:spacing w:val="-6"/>
          <w:sz w:val="16"/>
        </w:rPr>
        <w:t> </w:t>
      </w:r>
      <w:r>
        <w:rPr>
          <w:sz w:val="16"/>
        </w:rPr>
        <w:t>modelo,</w:t>
      </w:r>
      <w:r>
        <w:rPr>
          <w:spacing w:val="-5"/>
          <w:sz w:val="16"/>
        </w:rPr>
        <w:t> </w:t>
      </w:r>
      <w:r>
        <w:rPr>
          <w:sz w:val="16"/>
        </w:rPr>
        <w:t>los</w:t>
      </w:r>
      <w:r>
        <w:rPr>
          <w:spacing w:val="-5"/>
          <w:sz w:val="16"/>
        </w:rPr>
        <w:t> </w:t>
      </w:r>
      <w:r>
        <w:rPr>
          <w:sz w:val="16"/>
        </w:rPr>
        <w:t>subsidios</w:t>
      </w:r>
      <w:r>
        <w:rPr>
          <w:spacing w:val="-5"/>
          <w:sz w:val="16"/>
        </w:rPr>
        <w:t> </w:t>
      </w:r>
      <w:r>
        <w:rPr>
          <w:sz w:val="16"/>
        </w:rPr>
        <w:t>gubernamentales</w:t>
      </w:r>
      <w:r>
        <w:rPr>
          <w:spacing w:val="-5"/>
          <w:sz w:val="16"/>
        </w:rPr>
        <w:t> </w:t>
      </w:r>
      <w:r>
        <w:rPr>
          <w:sz w:val="16"/>
        </w:rPr>
        <w:t>se</w:t>
      </w:r>
      <w:r>
        <w:rPr>
          <w:spacing w:val="-7"/>
          <w:sz w:val="16"/>
        </w:rPr>
        <w:t> </w:t>
      </w:r>
      <w:r>
        <w:rPr>
          <w:sz w:val="16"/>
        </w:rPr>
        <w:t>presentan</w:t>
      </w:r>
      <w:r>
        <w:rPr>
          <w:spacing w:val="-7"/>
          <w:sz w:val="16"/>
        </w:rPr>
        <w:t> </w:t>
      </w:r>
      <w:r>
        <w:rPr>
          <w:sz w:val="16"/>
        </w:rPr>
        <w:t>dentro</w:t>
      </w:r>
      <w:r>
        <w:rPr>
          <w:spacing w:val="-4"/>
          <w:sz w:val="16"/>
        </w:rPr>
        <w:t> </w:t>
      </w:r>
      <w:r>
        <w:rPr>
          <w:sz w:val="16"/>
        </w:rPr>
        <w:t>de la</w:t>
      </w:r>
      <w:r>
        <w:rPr>
          <w:spacing w:val="-4"/>
          <w:sz w:val="16"/>
        </w:rPr>
        <w:t> </w:t>
      </w:r>
      <w:r>
        <w:rPr>
          <w:sz w:val="16"/>
        </w:rPr>
        <w:t>línea</w:t>
      </w:r>
      <w:r>
        <w:rPr>
          <w:spacing w:val="-5"/>
          <w:sz w:val="16"/>
        </w:rPr>
        <w:t> </w:t>
      </w:r>
      <w:r>
        <w:rPr>
          <w:sz w:val="16"/>
        </w:rPr>
        <w:t>“Otros</w:t>
      </w:r>
      <w:r>
        <w:rPr>
          <w:spacing w:val="-2"/>
          <w:sz w:val="16"/>
        </w:rPr>
        <w:t> </w:t>
      </w:r>
      <w:r>
        <w:rPr>
          <w:sz w:val="16"/>
        </w:rPr>
        <w:t>ingresos”</w:t>
      </w:r>
      <w:r>
        <w:rPr>
          <w:spacing w:val="-2"/>
          <w:sz w:val="16"/>
        </w:rPr>
        <w:t> </w:t>
      </w:r>
      <w:r>
        <w:rPr>
          <w:sz w:val="16"/>
        </w:rPr>
        <w:t>(RT</w:t>
      </w:r>
      <w:r>
        <w:rPr>
          <w:spacing w:val="-6"/>
          <w:sz w:val="16"/>
        </w:rPr>
        <w:t> </w:t>
      </w:r>
      <w:r>
        <w:rPr>
          <w:sz w:val="16"/>
        </w:rPr>
        <w:t>54,</w:t>
      </w:r>
      <w:r>
        <w:rPr>
          <w:spacing w:val="-5"/>
          <w:sz w:val="16"/>
        </w:rPr>
        <w:t> </w:t>
      </w:r>
      <w:r>
        <w:rPr>
          <w:sz w:val="16"/>
        </w:rPr>
        <w:t>párr.</w:t>
      </w:r>
      <w:r>
        <w:rPr>
          <w:spacing w:val="-3"/>
          <w:sz w:val="16"/>
        </w:rPr>
        <w:t> </w:t>
      </w:r>
      <w:r>
        <w:rPr>
          <w:spacing w:val="-2"/>
          <w:sz w:val="16"/>
        </w:rPr>
        <w:t>568).</w:t>
      </w:r>
    </w:p>
    <w:p>
      <w:pPr>
        <w:pStyle w:val="ListParagraph"/>
        <w:numPr>
          <w:ilvl w:val="0"/>
          <w:numId w:val="1"/>
        </w:numPr>
        <w:tabs>
          <w:tab w:pos="361" w:val="left" w:leader="none"/>
        </w:tabs>
        <w:spacing w:line="240" w:lineRule="auto" w:before="0" w:after="0"/>
        <w:ind w:left="361" w:right="137" w:hanging="360"/>
        <w:jc w:val="both"/>
        <w:rPr>
          <w:sz w:val="16"/>
        </w:rPr>
      </w:pPr>
      <w:r>
        <w:rPr>
          <w:sz w:val="16"/>
        </w:rPr>
        <w:t>Los</w:t>
      </w:r>
      <w:r>
        <w:rPr>
          <w:spacing w:val="-6"/>
          <w:sz w:val="16"/>
        </w:rPr>
        <w:t> </w:t>
      </w:r>
      <w:r>
        <w:rPr>
          <w:sz w:val="16"/>
        </w:rPr>
        <w:t>resultados</w:t>
      </w:r>
      <w:r>
        <w:rPr>
          <w:spacing w:val="-8"/>
          <w:sz w:val="16"/>
        </w:rPr>
        <w:t> </w:t>
      </w:r>
      <w:r>
        <w:rPr>
          <w:sz w:val="16"/>
        </w:rPr>
        <w:t>procedentes</w:t>
      </w:r>
      <w:r>
        <w:rPr>
          <w:spacing w:val="-8"/>
          <w:sz w:val="16"/>
        </w:rPr>
        <w:t> </w:t>
      </w:r>
      <w:r>
        <w:rPr>
          <w:sz w:val="16"/>
        </w:rPr>
        <w:t>de</w:t>
      </w:r>
      <w:r>
        <w:rPr>
          <w:spacing w:val="-8"/>
          <w:sz w:val="16"/>
        </w:rPr>
        <w:t> </w:t>
      </w:r>
      <w:r>
        <w:rPr>
          <w:sz w:val="16"/>
        </w:rPr>
        <w:t>actividades</w:t>
      </w:r>
      <w:r>
        <w:rPr>
          <w:spacing w:val="-8"/>
          <w:sz w:val="16"/>
        </w:rPr>
        <w:t> </w:t>
      </w:r>
      <w:r>
        <w:rPr>
          <w:sz w:val="16"/>
        </w:rPr>
        <w:t>u</w:t>
      </w:r>
      <w:r>
        <w:rPr>
          <w:spacing w:val="-8"/>
          <w:sz w:val="16"/>
        </w:rPr>
        <w:t> </w:t>
      </w:r>
      <w:r>
        <w:rPr>
          <w:sz w:val="16"/>
        </w:rPr>
        <w:t>operaciones</w:t>
      </w:r>
      <w:r>
        <w:rPr>
          <w:spacing w:val="-8"/>
          <w:sz w:val="16"/>
        </w:rPr>
        <w:t> </w:t>
      </w:r>
      <w:r>
        <w:rPr>
          <w:sz w:val="16"/>
        </w:rPr>
        <w:t>discontinuadas</w:t>
      </w:r>
      <w:r>
        <w:rPr>
          <w:spacing w:val="-6"/>
          <w:sz w:val="16"/>
        </w:rPr>
        <w:t> </w:t>
      </w:r>
      <w:r>
        <w:rPr>
          <w:sz w:val="16"/>
        </w:rPr>
        <w:t>(o</w:t>
      </w:r>
      <w:r>
        <w:rPr>
          <w:spacing w:val="-8"/>
          <w:sz w:val="16"/>
        </w:rPr>
        <w:t> </w:t>
      </w:r>
      <w:r>
        <w:rPr>
          <w:sz w:val="16"/>
        </w:rPr>
        <w:t>en</w:t>
      </w:r>
      <w:r>
        <w:rPr>
          <w:spacing w:val="-10"/>
          <w:sz w:val="16"/>
        </w:rPr>
        <w:t> </w:t>
      </w:r>
      <w:r>
        <w:rPr>
          <w:sz w:val="16"/>
        </w:rPr>
        <w:t>discontinuación)</w:t>
      </w:r>
      <w:r>
        <w:rPr>
          <w:spacing w:val="-10"/>
          <w:sz w:val="16"/>
        </w:rPr>
        <w:t> </w:t>
      </w:r>
      <w:r>
        <w:rPr>
          <w:sz w:val="16"/>
        </w:rPr>
        <w:t>se</w:t>
      </w:r>
      <w:r>
        <w:rPr>
          <w:spacing w:val="-10"/>
          <w:sz w:val="16"/>
        </w:rPr>
        <w:t> </w:t>
      </w:r>
      <w:r>
        <w:rPr>
          <w:sz w:val="16"/>
        </w:rPr>
        <w:t>presentan</w:t>
      </w:r>
      <w:r>
        <w:rPr>
          <w:spacing w:val="-8"/>
          <w:sz w:val="16"/>
        </w:rPr>
        <w:t> </w:t>
      </w:r>
      <w:r>
        <w:rPr>
          <w:sz w:val="16"/>
        </w:rPr>
        <w:t>netos del impuesto a las ganancias atribuible a ellos [RT 54, párr. 629 inc. j)].</w:t>
      </w:r>
    </w:p>
    <w:sectPr>
      <w:footerReference w:type="default" r:id="rId5"/>
      <w:type w:val="continuous"/>
      <w:pgSz w:w="11910" w:h="16840"/>
      <w:pgMar w:header="0" w:footer="776" w:top="640" w:bottom="96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82880">
              <wp:simplePos x="0" y="0"/>
              <wp:positionH relativeFrom="page">
                <wp:posOffset>6418326</wp:posOffset>
              </wp:positionH>
              <wp:positionV relativeFrom="page">
                <wp:posOffset>10060168</wp:posOffset>
              </wp:positionV>
              <wp:extent cx="74930" cy="124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930" cy="124460"/>
                      </a:xfrm>
                      <a:prstGeom prst="rect">
                        <a:avLst/>
                      </a:prstGeom>
                    </wps:spPr>
                    <wps:txbx>
                      <w:txbxContent>
                        <w:p>
                          <w:pPr>
                            <w:spacing w:before="14"/>
                            <w:ind w:left="20" w:right="0" w:firstLine="0"/>
                            <w:jc w:val="left"/>
                            <w:rPr>
                              <w:sz w:val="14"/>
                            </w:rPr>
                          </w:pPr>
                          <w:r>
                            <w:rPr>
                              <w:spacing w:val="-10"/>
                              <w:sz w:val="14"/>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5.380005pt;margin-top:792.139282pt;width:5.9pt;height:9.8pt;mso-position-horizontal-relative:page;mso-position-vertical-relative:page;z-index:-15833600" type="#_x0000_t202" id="docshape1" filled="false" stroked="false">
              <v:textbox inset="0,0,0,0">
                <w:txbxContent>
                  <w:p>
                    <w:pPr>
                      <w:spacing w:before="14"/>
                      <w:ind w:left="20" w:right="0" w:firstLine="0"/>
                      <w:jc w:val="left"/>
                      <w:rPr>
                        <w:sz w:val="14"/>
                      </w:rPr>
                    </w:pPr>
                    <w:r>
                      <w:rPr>
                        <w:spacing w:val="-10"/>
                        <w:sz w:val="14"/>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188" w:hanging="360"/>
      </w:pPr>
      <w:rPr>
        <w:rFonts w:hint="default"/>
        <w:lang w:val="es-ES" w:eastAsia="en-US" w:bidi="ar-SA"/>
      </w:rPr>
    </w:lvl>
    <w:lvl w:ilvl="2">
      <w:start w:val="0"/>
      <w:numFmt w:val="bullet"/>
      <w:lvlText w:val="•"/>
      <w:lvlJc w:val="left"/>
      <w:pPr>
        <w:ind w:left="2017" w:hanging="360"/>
      </w:pPr>
      <w:rPr>
        <w:rFonts w:hint="default"/>
        <w:lang w:val="es-ES" w:eastAsia="en-US" w:bidi="ar-SA"/>
      </w:rPr>
    </w:lvl>
    <w:lvl w:ilvl="3">
      <w:start w:val="0"/>
      <w:numFmt w:val="bullet"/>
      <w:lvlText w:val="•"/>
      <w:lvlJc w:val="left"/>
      <w:pPr>
        <w:ind w:left="2846" w:hanging="360"/>
      </w:pPr>
      <w:rPr>
        <w:rFonts w:hint="default"/>
        <w:lang w:val="es-ES" w:eastAsia="en-US" w:bidi="ar-SA"/>
      </w:rPr>
    </w:lvl>
    <w:lvl w:ilvl="4">
      <w:start w:val="0"/>
      <w:numFmt w:val="bullet"/>
      <w:lvlText w:val="•"/>
      <w:lvlJc w:val="left"/>
      <w:pPr>
        <w:ind w:left="3674" w:hanging="360"/>
      </w:pPr>
      <w:rPr>
        <w:rFonts w:hint="default"/>
        <w:lang w:val="es-ES" w:eastAsia="en-US" w:bidi="ar-SA"/>
      </w:rPr>
    </w:lvl>
    <w:lvl w:ilvl="5">
      <w:start w:val="0"/>
      <w:numFmt w:val="bullet"/>
      <w:lvlText w:val="•"/>
      <w:lvlJc w:val="left"/>
      <w:pPr>
        <w:ind w:left="4503" w:hanging="360"/>
      </w:pPr>
      <w:rPr>
        <w:rFonts w:hint="default"/>
        <w:lang w:val="es-ES" w:eastAsia="en-US" w:bidi="ar-SA"/>
      </w:rPr>
    </w:lvl>
    <w:lvl w:ilvl="6">
      <w:start w:val="0"/>
      <w:numFmt w:val="bullet"/>
      <w:lvlText w:val="•"/>
      <w:lvlJc w:val="left"/>
      <w:pPr>
        <w:ind w:left="5332" w:hanging="360"/>
      </w:pPr>
      <w:rPr>
        <w:rFonts w:hint="default"/>
        <w:lang w:val="es-ES" w:eastAsia="en-US" w:bidi="ar-SA"/>
      </w:rPr>
    </w:lvl>
    <w:lvl w:ilvl="7">
      <w:start w:val="0"/>
      <w:numFmt w:val="bullet"/>
      <w:lvlText w:val="•"/>
      <w:lvlJc w:val="left"/>
      <w:pPr>
        <w:ind w:left="6161" w:hanging="360"/>
      </w:pPr>
      <w:rPr>
        <w:rFonts w:hint="default"/>
        <w:lang w:val="es-ES" w:eastAsia="en-US" w:bidi="ar-SA"/>
      </w:rPr>
    </w:lvl>
    <w:lvl w:ilvl="8">
      <w:start w:val="0"/>
      <w:numFmt w:val="bullet"/>
      <w:lvlText w:val="•"/>
      <w:lvlJc w:val="left"/>
      <w:pPr>
        <w:ind w:left="6989"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61"/>
      <w:jc w:val="both"/>
    </w:pPr>
    <w:rPr>
      <w:rFonts w:ascii="Arial MT" w:hAnsi="Arial MT" w:eastAsia="Arial MT" w:cs="Arial MT"/>
      <w:sz w:val="16"/>
      <w:szCs w:val="16"/>
      <w:lang w:val="es-ES" w:eastAsia="en-US" w:bidi="ar-SA"/>
    </w:rPr>
  </w:style>
  <w:style w:styleId="Heading1" w:type="paragraph">
    <w:name w:val="Heading 1"/>
    <w:basedOn w:val="Normal"/>
    <w:uiPriority w:val="1"/>
    <w:qFormat/>
    <w:pPr>
      <w:ind w:left="2" w:right="1387"/>
      <w:jc w:val="center"/>
      <w:outlineLvl w:val="1"/>
    </w:pPr>
    <w:rPr>
      <w:rFonts w:ascii="Arial" w:hAnsi="Arial" w:eastAsia="Arial" w:cs="Arial"/>
      <w:b/>
      <w:bCs/>
      <w:sz w:val="16"/>
      <w:szCs w:val="16"/>
      <w:lang w:val="es-ES" w:eastAsia="en-US" w:bidi="ar-SA"/>
    </w:rPr>
  </w:style>
  <w:style w:styleId="Title" w:type="paragraph">
    <w:name w:val="Title"/>
    <w:basedOn w:val="Normal"/>
    <w:uiPriority w:val="1"/>
    <w:qFormat/>
    <w:pPr>
      <w:spacing w:before="95"/>
      <w:ind w:left="2"/>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ind w:left="361" w:right="137"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2026-01-21T18:28:44Z</dcterms:created>
  <dcterms:modified xsi:type="dcterms:W3CDTF">2026-01-21T18:28:44Z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