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28"/>
        <w:ind w:left="1434" w:right="1433" w:firstLine="2"/>
      </w:pPr>
      <w:r>
        <w:rPr/>
        <w:t>ESTADO DE FLUJOS DE EFECTIVO (Método directo) (RT 54- párrafo 735) 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finalizado</w:t>
      </w:r>
      <w:r>
        <w:rPr>
          <w:spacing w:val="-2"/>
        </w:rPr>
        <w:t> </w:t>
      </w:r>
      <w:r>
        <w:rPr/>
        <w:t>el</w:t>
      </w:r>
      <w:r>
        <w:rPr>
          <w:spacing w:val="80"/>
        </w:rPr>
        <w:t> </w:t>
      </w:r>
      <w:r>
        <w:rPr/>
        <w:t>…/…/…</w:t>
      </w:r>
      <w:r>
        <w:rPr>
          <w:spacing w:val="-5"/>
        </w:rPr>
        <w:t> </w:t>
      </w:r>
      <w:r>
        <w:rPr/>
        <w:t>comparativo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anterior Cifras expresadas en … (Nota 1.3)</w:t>
      </w:r>
    </w:p>
    <w:p>
      <w:pPr>
        <w:pStyle w:val="BodyText"/>
        <w:spacing w:after="1"/>
        <w:ind w:left="0" w:firstLine="0"/>
        <w:jc w:val="left"/>
        <w:rPr>
          <w:rFonts w:ascii="Arial"/>
          <w:b/>
        </w:rPr>
      </w:pPr>
    </w:p>
    <w:tbl>
      <w:tblPr>
        <w:tblW w:w="0" w:type="auto"/>
        <w:jc w:val="left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245"/>
        <w:gridCol w:w="1018"/>
        <w:gridCol w:w="1017"/>
      </w:tblGrid>
      <w:tr>
        <w:trPr>
          <w:trHeight w:val="170" w:hRule="exact"/>
        </w:trPr>
        <w:tc>
          <w:tcPr>
            <w:tcW w:w="518" w:type="dxa"/>
            <w:shd w:val="clear" w:color="auto" w:fill="F1F1F1"/>
          </w:tcPr>
          <w:p>
            <w:pPr>
              <w:pStyle w:val="TableParagraph"/>
              <w:spacing w:line="140" w:lineRule="exact"/>
              <w:ind w:right="4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Ref.</w:t>
            </w:r>
          </w:p>
        </w:tc>
        <w:tc>
          <w:tcPr>
            <w:tcW w:w="524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shd w:val="clear" w:color="auto" w:fill="F1F1F1"/>
          </w:tcPr>
          <w:p>
            <w:pPr>
              <w:pStyle w:val="TableParagraph"/>
              <w:spacing w:line="140" w:lineRule="exact"/>
              <w:ind w:left="309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line="140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Comparativo</w:t>
            </w:r>
          </w:p>
        </w:tc>
      </w:tr>
      <w:tr>
        <w:trPr>
          <w:trHeight w:val="168" w:hRule="exact"/>
        </w:trPr>
        <w:tc>
          <w:tcPr>
            <w:tcW w:w="5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>
            <w:pPr>
              <w:pStyle w:val="TableParagraph"/>
              <w:spacing w:line="143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VARIACIONES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EFECTIVO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EQUIVALENTES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equivalentes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ejercicios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anteriores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1.6)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equivalentes,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modificados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5"/>
                <w:sz w:val="14"/>
              </w:rPr>
              <w:t>5)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equivalentes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cierre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8"/>
              <w:ind w:left="102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Aumento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(Disminución)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equivalentes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5"/>
                <w:sz w:val="14"/>
              </w:rPr>
              <w:t>5)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9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CAUSAS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VARIACIÓN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EQUIVALENTES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  <w:u w:val="single"/>
              </w:rPr>
              <w:t>Actividades</w:t>
            </w:r>
            <w:r>
              <w:rPr>
                <w:rFonts w:ascii="Arial"/>
                <w:b/>
                <w:spacing w:val="12"/>
                <w:sz w:val="14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14"/>
                <w:u w:val="single"/>
              </w:rPr>
              <w:t>operativas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ingresos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aportes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subsidios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recibidos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destino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específico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Cobros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proveedores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cargas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2"/>
                <w:sz w:val="14"/>
              </w:rPr>
              <w:t> impuestos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43" w:right="4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intereses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43" w:right="4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intereses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exact"/>
        </w:trPr>
        <w:tc>
          <w:tcPr>
            <w:tcW w:w="51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(3)</w:t>
            </w:r>
          </w:p>
        </w:tc>
        <w:tc>
          <w:tcPr>
            <w:tcW w:w="52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impuesto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> ganancias</w:t>
            </w:r>
          </w:p>
          <w:p>
            <w:pPr>
              <w:pStyle w:val="TableParagraph"/>
              <w:spacing w:line="145" w:lineRule="exact" w:before="9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Flujo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neto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efectivo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(utilizado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en)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actividades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operativas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exact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1" w:hRule="exact"/>
        </w:trPr>
        <w:tc>
          <w:tcPr>
            <w:tcW w:w="51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52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u w:val="single"/>
              </w:rPr>
              <w:t>Actividades</w:t>
            </w:r>
            <w:r>
              <w:rPr>
                <w:rFonts w:ascii="Arial" w:hAnsi="Arial"/>
                <w:b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sz w:val="14"/>
                <w:u w:val="single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inversión</w:t>
            </w:r>
          </w:p>
          <w:p>
            <w:pPr>
              <w:pStyle w:val="TableParagraph"/>
              <w:spacing w:line="242" w:lineRule="auto"/>
              <w:ind w:left="102" w:right="780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propiedades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Pagos por compras de activos intangibles</w:t>
            </w:r>
          </w:p>
          <w:p>
            <w:pPr>
              <w:pStyle w:val="TableParagraph"/>
              <w:spacing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inversiones</w:t>
            </w:r>
          </w:p>
          <w:p>
            <w:pPr>
              <w:pStyle w:val="TableParagraph"/>
              <w:ind w:left="102" w:right="780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ventas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propiedades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Cobros por ventas de activos intangibles</w:t>
            </w:r>
          </w:p>
          <w:p>
            <w:pPr>
              <w:pStyle w:val="TableParagraph"/>
              <w:spacing w:line="16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ventas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inversiones</w:t>
            </w: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títulos,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acciones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instrumentos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deuda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patrimonio que no califican como equivalentes de efectivo</w:t>
            </w:r>
          </w:p>
          <w:p>
            <w:pPr>
              <w:pStyle w:val="TableParagraph"/>
              <w:ind w:left="102" w:right="71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ventas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reembolso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títulos,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instrumentos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deuda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 patrimonio que no califican como equivalentes de efectivo</w:t>
            </w:r>
          </w:p>
          <w:p>
            <w:pPr>
              <w:pStyle w:val="TableParagraph"/>
              <w:spacing w:line="161" w:lineRule="exact"/>
              <w:ind w:left="102"/>
              <w:rPr>
                <w:sz w:val="14"/>
              </w:rPr>
            </w:pPr>
            <w:r>
              <w:rPr>
                <w:sz w:val="14"/>
              </w:rPr>
              <w:t>Cobros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subsidios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relacionados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activos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largo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plazo</w:t>
            </w:r>
          </w:p>
          <w:p>
            <w:pPr>
              <w:pStyle w:val="TableParagraph"/>
              <w:spacing w:line="160" w:lineRule="atLeas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Flujo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generado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(utilizado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en)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actividades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inversión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exact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74" w:hRule="exact"/>
        </w:trPr>
        <w:tc>
          <w:tcPr>
            <w:tcW w:w="51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67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52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u w:val="single"/>
              </w:rPr>
              <w:t>Actividades</w:t>
            </w:r>
            <w:r>
              <w:rPr>
                <w:rFonts w:ascii="Arial" w:hAnsi="Arial"/>
                <w:b/>
                <w:spacing w:val="-5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sz w:val="14"/>
                <w:u w:val="single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financiación</w:t>
            </w:r>
          </w:p>
          <w:p>
            <w:pPr>
              <w:pStyle w:val="TableParagraph"/>
              <w:ind w:left="102" w:right="107"/>
              <w:rPr>
                <w:sz w:val="14"/>
              </w:rPr>
            </w:pPr>
            <w:r>
              <w:rPr>
                <w:sz w:val="14"/>
              </w:rPr>
              <w:t>Cobros por aportes de cuotas sociales u otros instrumentos de patrimonio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Cobros por la obtención de préstamos, emisión de obligaciones negociables 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otros instrumentos de deuda</w:t>
            </w:r>
          </w:p>
          <w:p>
            <w:pPr>
              <w:pStyle w:val="TableParagraph"/>
              <w:ind w:left="102" w:right="1583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préstamos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instrumentos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deuda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Pagos de cuotas de arrendamientos financieros</w:t>
            </w:r>
          </w:p>
          <w:p>
            <w:pPr>
              <w:pStyle w:val="TableParagraph"/>
              <w:spacing w:line="160" w:lineRule="atLeas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Flujo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generado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(utilizado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en)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actividades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financiación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exact"/>
        </w:trPr>
        <w:tc>
          <w:tcPr>
            <w:tcW w:w="5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8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5"/>
              <w:ind w:left="43" w:right="4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5"/>
              <w:ind w:left="102"/>
              <w:rPr>
                <w:sz w:val="14"/>
              </w:rPr>
            </w:pPr>
            <w:r>
              <w:rPr>
                <w:sz w:val="14"/>
              </w:rPr>
              <w:t>Resultados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financieros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tenencia</w:t>
            </w:r>
            <w:r>
              <w:rPr>
                <w:spacing w:val="65"/>
                <w:sz w:val="14"/>
              </w:rPr>
              <w:t> </w:t>
            </w:r>
            <w:r>
              <w:rPr>
                <w:sz w:val="14"/>
              </w:rPr>
              <w:t>generados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6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efectivo</w:t>
            </w:r>
            <w:r>
              <w:rPr>
                <w:spacing w:val="6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sus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2" w:hRule="exact"/>
        </w:trPr>
        <w:tc>
          <w:tcPr>
            <w:tcW w:w="5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equivalentes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5"/>
                <w:sz w:val="14"/>
              </w:rPr>
              <w:t>5)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exact"/>
        </w:trPr>
        <w:tc>
          <w:tcPr>
            <w:tcW w:w="5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>
            <w:pPr>
              <w:pStyle w:val="TableParagraph"/>
              <w:spacing w:line="140" w:lineRule="exact" w:before="5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Aumento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(Disminución)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equivalentes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8"/>
        <w:ind w:left="0" w:firstLine="0"/>
        <w:jc w:val="left"/>
        <w:rPr>
          <w:rFonts w:ascii="Arial"/>
          <w:b/>
        </w:rPr>
      </w:pPr>
    </w:p>
    <w:p>
      <w:pPr>
        <w:spacing w:line="183" w:lineRule="exact" w:before="0"/>
        <w:ind w:left="28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</w:t>
      </w:r>
      <w:r>
        <w:rPr>
          <w:rFonts w:ascii="Arial"/>
          <w:b/>
          <w:spacing w:val="-2"/>
          <w:sz w:val="16"/>
        </w:rPr>
        <w:t>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10" w:right="285" w:hanging="360"/>
        <w:jc w:val="both"/>
        <w:rPr>
          <w:sz w:val="16"/>
        </w:rPr>
      </w:pPr>
      <w:r>
        <w:rPr>
          <w:sz w:val="16"/>
        </w:rPr>
        <w:t>En</w:t>
      </w:r>
      <w:r>
        <w:rPr>
          <w:spacing w:val="-8"/>
          <w:sz w:val="16"/>
        </w:rPr>
        <w:t> </w:t>
      </w:r>
      <w:r>
        <w:rPr>
          <w:sz w:val="16"/>
        </w:rPr>
        <w:t>el</w:t>
      </w:r>
      <w:r>
        <w:rPr>
          <w:spacing w:val="-9"/>
          <w:sz w:val="16"/>
        </w:rPr>
        <w:t> </w:t>
      </w:r>
      <w:r>
        <w:rPr>
          <w:sz w:val="16"/>
        </w:rPr>
        <w:t>modelo,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8"/>
          <w:sz w:val="16"/>
        </w:rPr>
        <w:t> </w:t>
      </w:r>
      <w:r>
        <w:rPr>
          <w:sz w:val="16"/>
        </w:rPr>
        <w:t>cobros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intereses</w:t>
      </w:r>
      <w:r>
        <w:rPr>
          <w:spacing w:val="-11"/>
          <w:sz w:val="16"/>
        </w:rPr>
        <w:t> </w:t>
      </w:r>
      <w:r>
        <w:rPr>
          <w:sz w:val="16"/>
        </w:rPr>
        <w:t>se</w:t>
      </w:r>
      <w:r>
        <w:rPr>
          <w:spacing w:val="-8"/>
          <w:sz w:val="16"/>
        </w:rPr>
        <w:t> </w:t>
      </w:r>
      <w:r>
        <w:rPr>
          <w:sz w:val="16"/>
        </w:rPr>
        <w:t>presentan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10"/>
          <w:sz w:val="16"/>
        </w:rPr>
        <w:t> </w:t>
      </w: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actividades</w:t>
      </w:r>
      <w:r>
        <w:rPr>
          <w:spacing w:val="-6"/>
          <w:sz w:val="16"/>
        </w:rPr>
        <w:t> </w:t>
      </w:r>
      <w:r>
        <w:rPr>
          <w:sz w:val="16"/>
        </w:rPr>
        <w:t>operativas.</w:t>
      </w:r>
      <w:r>
        <w:rPr>
          <w:spacing w:val="-9"/>
          <w:sz w:val="16"/>
        </w:rPr>
        <w:t> </w:t>
      </w:r>
      <w:r>
        <w:rPr>
          <w:sz w:val="16"/>
        </w:rPr>
        <w:t>Una</w:t>
      </w:r>
      <w:r>
        <w:rPr>
          <w:spacing w:val="-8"/>
          <w:sz w:val="16"/>
        </w:rPr>
        <w:t> </w:t>
      </w:r>
      <w:r>
        <w:rPr>
          <w:sz w:val="16"/>
        </w:rPr>
        <w:t>entidad</w:t>
      </w:r>
      <w:r>
        <w:rPr>
          <w:spacing w:val="-8"/>
          <w:sz w:val="16"/>
        </w:rPr>
        <w:t> </w:t>
      </w:r>
      <w:r>
        <w:rPr>
          <w:sz w:val="16"/>
        </w:rPr>
        <w:t>podría</w:t>
      </w:r>
      <w:r>
        <w:rPr>
          <w:spacing w:val="-10"/>
          <w:sz w:val="16"/>
        </w:rPr>
        <w:t> </w:t>
      </w:r>
      <w:r>
        <w:rPr>
          <w:sz w:val="16"/>
        </w:rPr>
        <w:t>optar por clasificarlos en las actividades de inversión (RT 54, párr. 664).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1" w:after="0"/>
        <w:ind w:left="710" w:right="282" w:hanging="360"/>
        <w:jc w:val="both"/>
        <w:rPr>
          <w:sz w:val="16"/>
        </w:rPr>
      </w:pP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1"/>
          <w:sz w:val="16"/>
        </w:rPr>
        <w:t> </w:t>
      </w:r>
      <w:r>
        <w:rPr>
          <w:sz w:val="16"/>
        </w:rPr>
        <w:t>modelo,</w:t>
      </w:r>
      <w:r>
        <w:rPr>
          <w:spacing w:val="-8"/>
          <w:sz w:val="16"/>
        </w:rPr>
        <w:t> </w:t>
      </w:r>
      <w:r>
        <w:rPr>
          <w:sz w:val="16"/>
        </w:rPr>
        <w:t>los</w:t>
      </w:r>
      <w:r>
        <w:rPr>
          <w:spacing w:val="-7"/>
          <w:sz w:val="16"/>
        </w:rPr>
        <w:t> </w:t>
      </w:r>
      <w:r>
        <w:rPr>
          <w:sz w:val="16"/>
        </w:rPr>
        <w:t>pagos</w:t>
      </w:r>
      <w:r>
        <w:rPr>
          <w:spacing w:val="-7"/>
          <w:sz w:val="16"/>
        </w:rPr>
        <w:t> </w:t>
      </w:r>
      <w:r>
        <w:rPr>
          <w:sz w:val="16"/>
        </w:rPr>
        <w:t>intereses</w:t>
      </w:r>
      <w:r>
        <w:rPr>
          <w:spacing w:val="-10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presentan</w:t>
      </w:r>
      <w:r>
        <w:rPr>
          <w:spacing w:val="-9"/>
          <w:sz w:val="16"/>
        </w:rPr>
        <w:t> </w:t>
      </w:r>
      <w:r>
        <w:rPr>
          <w:sz w:val="16"/>
        </w:rPr>
        <w:t>en</w:t>
      </w:r>
      <w:r>
        <w:rPr>
          <w:spacing w:val="-9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actividades</w:t>
      </w:r>
      <w:r>
        <w:rPr>
          <w:spacing w:val="-6"/>
          <w:sz w:val="16"/>
        </w:rPr>
        <w:t> </w:t>
      </w:r>
      <w:r>
        <w:rPr>
          <w:sz w:val="16"/>
        </w:rPr>
        <w:t>operativas.</w:t>
      </w:r>
      <w:r>
        <w:rPr>
          <w:spacing w:val="-8"/>
          <w:sz w:val="16"/>
        </w:rPr>
        <w:t> </w:t>
      </w:r>
      <w:r>
        <w:rPr>
          <w:sz w:val="16"/>
        </w:rPr>
        <w:t>Una</w:t>
      </w:r>
      <w:r>
        <w:rPr>
          <w:spacing w:val="-7"/>
          <w:sz w:val="16"/>
        </w:rPr>
        <w:t> </w:t>
      </w:r>
      <w:r>
        <w:rPr>
          <w:sz w:val="16"/>
        </w:rPr>
        <w:t>entidad</w:t>
      </w:r>
      <w:r>
        <w:rPr>
          <w:spacing w:val="-9"/>
          <w:sz w:val="16"/>
        </w:rPr>
        <w:t> </w:t>
      </w:r>
      <w:r>
        <w:rPr>
          <w:sz w:val="16"/>
        </w:rPr>
        <w:t>podría</w:t>
      </w:r>
      <w:r>
        <w:rPr>
          <w:spacing w:val="-7"/>
          <w:sz w:val="16"/>
        </w:rPr>
        <w:t> </w:t>
      </w:r>
      <w:r>
        <w:rPr>
          <w:sz w:val="16"/>
        </w:rPr>
        <w:t>optar</w:t>
      </w:r>
      <w:r>
        <w:rPr>
          <w:spacing w:val="-9"/>
          <w:sz w:val="16"/>
        </w:rPr>
        <w:t> </w:t>
      </w:r>
      <w:r>
        <w:rPr>
          <w:sz w:val="16"/>
        </w:rPr>
        <w:t>por clasificarlos en las actividades de financiación (RT 54, párr. 663).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10" w:right="286" w:hanging="360"/>
        <w:jc w:val="both"/>
        <w:rPr>
          <w:sz w:val="16"/>
        </w:rPr>
      </w:pPr>
      <w:r>
        <w:rPr>
          <w:sz w:val="16"/>
        </w:rPr>
        <w:t>En el modelo, el pago del impuesto a las ganancias se presenta en las actividades operativas. Cuando el impuesto a las ganancias o parte de él pueda identificarse con flujos de efectivo asociados a actividades de inversión o financiación, la entidad deberá clasificarlos dentro de esas actividades (RT 54, párr. 665).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10" w:right="286" w:hanging="360"/>
        <w:jc w:val="both"/>
        <w:rPr>
          <w:sz w:val="16"/>
        </w:rPr>
      </w:pPr>
      <w:r>
        <w:rPr>
          <w:sz w:val="16"/>
        </w:rPr>
        <w:t>Una entidad podrá incluir los resultados financieros y por tenencia del efectivo y sus equivalentes dentro de</w:t>
      </w:r>
      <w:r>
        <w:rPr>
          <w:spacing w:val="-12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actividades</w:t>
      </w:r>
      <w:r>
        <w:rPr>
          <w:spacing w:val="-8"/>
          <w:sz w:val="16"/>
        </w:rPr>
        <w:t> </w:t>
      </w:r>
      <w:r>
        <w:rPr>
          <w:sz w:val="16"/>
        </w:rPr>
        <w:t>operativas:</w:t>
      </w:r>
      <w:r>
        <w:rPr>
          <w:spacing w:val="-8"/>
          <w:sz w:val="16"/>
        </w:rPr>
        <w:t> </w:t>
      </w:r>
      <w:r>
        <w:rPr>
          <w:sz w:val="16"/>
        </w:rPr>
        <w:t>a)</w:t>
      </w:r>
      <w:r>
        <w:rPr>
          <w:spacing w:val="-12"/>
          <w:sz w:val="16"/>
        </w:rPr>
        <w:t> </w:t>
      </w:r>
      <w:r>
        <w:rPr>
          <w:sz w:val="16"/>
        </w:rPr>
        <w:t>si</w:t>
      </w:r>
      <w:r>
        <w:rPr>
          <w:spacing w:val="-11"/>
          <w:sz w:val="16"/>
        </w:rPr>
        <w:t> </w:t>
      </w:r>
      <w:r>
        <w:rPr>
          <w:sz w:val="16"/>
        </w:rPr>
        <w:t>es</w:t>
      </w:r>
      <w:r>
        <w:rPr>
          <w:spacing w:val="-8"/>
          <w:sz w:val="16"/>
        </w:rPr>
        <w:t> </w:t>
      </w:r>
      <w:r>
        <w:rPr>
          <w:sz w:val="16"/>
        </w:rPr>
        <w:t>pequeña</w:t>
      </w:r>
      <w:r>
        <w:rPr>
          <w:spacing w:val="-9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mediana;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9"/>
          <w:sz w:val="16"/>
        </w:rPr>
        <w:t> </w:t>
      </w:r>
      <w:r>
        <w:rPr>
          <w:sz w:val="16"/>
        </w:rPr>
        <w:t>b)</w:t>
      </w:r>
      <w:r>
        <w:rPr>
          <w:spacing w:val="-12"/>
          <w:sz w:val="16"/>
        </w:rPr>
        <w:t> </w:t>
      </w:r>
      <w:r>
        <w:rPr>
          <w:sz w:val="16"/>
        </w:rPr>
        <w:t>siempre</w:t>
      </w:r>
      <w:r>
        <w:rPr>
          <w:spacing w:val="-8"/>
          <w:sz w:val="16"/>
        </w:rPr>
        <w:t> </w:t>
      </w:r>
      <w:r>
        <w:rPr>
          <w:sz w:val="16"/>
        </w:rPr>
        <w:t>que</w:t>
      </w:r>
      <w:r>
        <w:rPr>
          <w:spacing w:val="-9"/>
          <w:sz w:val="16"/>
        </w:rPr>
        <w:t> </w:t>
      </w:r>
      <w:r>
        <w:rPr>
          <w:sz w:val="16"/>
        </w:rPr>
        <w:t>prepare</w:t>
      </w:r>
      <w:r>
        <w:rPr>
          <w:spacing w:val="-9"/>
          <w:sz w:val="16"/>
        </w:rPr>
        <w:t> </w:t>
      </w:r>
      <w:r>
        <w:rPr>
          <w:sz w:val="16"/>
        </w:rPr>
        <w:t>sus</w:t>
      </w:r>
      <w:r>
        <w:rPr>
          <w:spacing w:val="-8"/>
          <w:sz w:val="16"/>
        </w:rPr>
        <w:t> </w:t>
      </w:r>
      <w:r>
        <w:rPr>
          <w:sz w:val="16"/>
        </w:rPr>
        <w:t>estados</w:t>
      </w:r>
      <w:r>
        <w:rPr>
          <w:spacing w:val="-10"/>
          <w:sz w:val="16"/>
        </w:rPr>
        <w:t> </w:t>
      </w:r>
      <w:r>
        <w:rPr>
          <w:sz w:val="16"/>
        </w:rPr>
        <w:t>contables ajustados por inflación (RT 54, párr. 661).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493" w:footer="406" w:top="1320" w:bottom="600" w:left="1700" w:right="1700"/>
          <w:pgNumType w:start="9"/>
        </w:sectPr>
      </w:pPr>
    </w:p>
    <w:p>
      <w:pPr>
        <w:pStyle w:val="Heading1"/>
        <w:spacing w:line="276" w:lineRule="auto" w:before="85"/>
        <w:ind w:left="1910" w:right="1906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FLUJOS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EFECTIVO</w:t>
      </w:r>
      <w:r>
        <w:rPr>
          <w:spacing w:val="-6"/>
        </w:rPr>
        <w:t> </w:t>
      </w:r>
      <w:r>
        <w:rPr/>
        <w:t>(Enfoque</w:t>
      </w:r>
      <w:r>
        <w:rPr>
          <w:spacing w:val="-4"/>
        </w:rPr>
        <w:t> </w:t>
      </w:r>
      <w:r>
        <w:rPr/>
        <w:t>sintético)</w:t>
      </w:r>
      <w:r>
        <w:rPr>
          <w:spacing w:val="-2"/>
        </w:rPr>
        <w:t> </w:t>
      </w:r>
      <w:r>
        <w:rPr/>
        <w:t>(1) (Ver Nota 5) (2)</w:t>
      </w:r>
    </w:p>
    <w:p>
      <w:pPr>
        <w:spacing w:line="276" w:lineRule="auto" w:before="0"/>
        <w:ind w:left="1248" w:right="1247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80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7"/>
        <w:ind w:left="0" w:firstLine="0"/>
        <w:jc w:val="left"/>
        <w:rPr>
          <w:rFonts w:ascii="Arial"/>
          <w:b/>
          <w:sz w:val="13"/>
        </w:r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5242"/>
        <w:gridCol w:w="1037"/>
        <w:gridCol w:w="1034"/>
      </w:tblGrid>
      <w:tr>
        <w:trPr>
          <w:trHeight w:val="160" w:hRule="atLeast"/>
        </w:trPr>
        <w:tc>
          <w:tcPr>
            <w:tcW w:w="523" w:type="dxa"/>
            <w:shd w:val="clear" w:color="auto" w:fill="F1F1F1"/>
          </w:tcPr>
          <w:p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pacing w:val="-4"/>
                <w:sz w:val="14"/>
              </w:rPr>
              <w:t>Ref.</w:t>
            </w:r>
          </w:p>
        </w:tc>
        <w:tc>
          <w:tcPr>
            <w:tcW w:w="524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  <w:shd w:val="clear" w:color="auto" w:fill="F1F1F1"/>
          </w:tcPr>
          <w:p>
            <w:pPr>
              <w:pStyle w:val="TableParagraph"/>
              <w:spacing w:line="140" w:lineRule="exact"/>
              <w:ind w:left="324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1034" w:type="dxa"/>
            <w:shd w:val="clear" w:color="auto" w:fill="F1F1F1"/>
          </w:tcPr>
          <w:p>
            <w:pPr>
              <w:pStyle w:val="TableParagraph"/>
              <w:spacing w:line="140" w:lineRule="exact"/>
              <w:ind w:left="120"/>
              <w:rPr>
                <w:sz w:val="14"/>
              </w:rPr>
            </w:pPr>
            <w:r>
              <w:rPr>
                <w:spacing w:val="-2"/>
                <w:sz w:val="14"/>
              </w:rPr>
              <w:t>Comparativo</w:t>
            </w:r>
          </w:p>
        </w:tc>
      </w:tr>
      <w:tr>
        <w:trPr>
          <w:trHeight w:val="803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5"/>
              <w:rPr>
                <w:sz w:val="14"/>
              </w:rPr>
            </w:pPr>
            <w:r>
              <w:rPr>
                <w:spacing w:val="-5"/>
                <w:sz w:val="14"/>
              </w:rPr>
              <w:t>(3)</w:t>
            </w:r>
          </w:p>
        </w:tc>
        <w:tc>
          <w:tcPr>
            <w:tcW w:w="5242" w:type="dxa"/>
            <w:vMerge w:val="restart"/>
          </w:tcPr>
          <w:p>
            <w:pPr>
              <w:pStyle w:val="TableParagraph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VARIACIONES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EFECTIVO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EQUIVALENTES</w:t>
            </w:r>
          </w:p>
          <w:p>
            <w:pPr>
              <w:pStyle w:val="TableParagraph"/>
              <w:ind w:left="108" w:right="1436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equivalentes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Modificación de ejercicios anteriores (Nota 1.6)</w:t>
            </w:r>
          </w:p>
          <w:p>
            <w:pPr>
              <w:pStyle w:val="TableParagraph"/>
              <w:ind w:left="108" w:right="308"/>
              <w:rPr>
                <w:sz w:val="14"/>
              </w:rPr>
            </w:pPr>
            <w:r>
              <w:rPr>
                <w:sz w:val="14"/>
              </w:rPr>
              <w:t>Efectivo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equivalentes,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modificados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ejercicio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5)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Efectivo y sus equivalentes al cierre del ejercicio</w:t>
            </w:r>
          </w:p>
          <w:p>
            <w:pPr>
              <w:pStyle w:val="TableParagraph"/>
              <w:spacing w:before="11"/>
              <w:ind w:left="108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Aumento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(Disminución)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equivalentes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sz w:val="14"/>
              </w:rPr>
              <w:t>(Nota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5"/>
                <w:sz w:val="14"/>
              </w:rPr>
              <w:t>5)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CAUSAS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VARIACIÓN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EQUIVALENTES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Flujo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neto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efectivo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(utilizado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en)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actividades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operativas</w:t>
            </w:r>
          </w:p>
          <w:p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Flujo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generado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(utilizado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en)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actividades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inversión</w:t>
            </w: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Flujo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generado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(utilizado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en)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actividades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financiación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0" w:lineRule="exact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Aumento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(Disminución)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efectivo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equivalentes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82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28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rFonts w:ascii="Arial"/>
          <w:b/>
        </w:rPr>
      </w:pPr>
    </w:p>
    <w:p>
      <w:pPr>
        <w:spacing w:line="183" w:lineRule="exact" w:before="0"/>
        <w:ind w:left="28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</w:t>
      </w:r>
      <w:r>
        <w:rPr>
          <w:rFonts w:ascii="Arial"/>
          <w:b/>
          <w:spacing w:val="-2"/>
          <w:sz w:val="16"/>
        </w:rPr>
        <w:t>: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0" w:after="0"/>
        <w:ind w:left="710" w:right="278" w:hanging="360"/>
        <w:jc w:val="both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> </w:t>
      </w:r>
      <w:r>
        <w:rPr>
          <w:sz w:val="16"/>
        </w:rPr>
        <w:t>666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RT 54</w:t>
      </w:r>
      <w:r>
        <w:rPr>
          <w:spacing w:val="-1"/>
          <w:sz w:val="16"/>
        </w:rPr>
        <w:t> </w:t>
      </w:r>
      <w:r>
        <w:rPr>
          <w:sz w:val="16"/>
        </w:rPr>
        <w:t>establece que,</w:t>
      </w:r>
      <w:r>
        <w:rPr>
          <w:spacing w:val="-1"/>
          <w:sz w:val="16"/>
        </w:rPr>
        <w:t> </w:t>
      </w:r>
      <w:r>
        <w:rPr>
          <w:sz w:val="16"/>
        </w:rPr>
        <w:t>cuando prepare</w:t>
      </w:r>
      <w:r>
        <w:rPr>
          <w:spacing w:val="-2"/>
          <w:sz w:val="16"/>
        </w:rPr>
        <w:t> </w:t>
      </w:r>
      <w:r>
        <w:rPr>
          <w:sz w:val="16"/>
        </w:rPr>
        <w:t>sus estados contables según</w:t>
      </w:r>
      <w:r>
        <w:rPr>
          <w:spacing w:val="-2"/>
          <w:sz w:val="16"/>
        </w:rPr>
        <w:t> </w:t>
      </w:r>
      <w:r>
        <w:rPr>
          <w:sz w:val="16"/>
        </w:rPr>
        <w:t>lo establecido</w:t>
      </w:r>
      <w:r>
        <w:rPr>
          <w:spacing w:val="-5"/>
          <w:sz w:val="16"/>
        </w:rPr>
        <w:t> </w:t>
      </w:r>
      <w:r>
        <w:rPr>
          <w:sz w:val="16"/>
        </w:rPr>
        <w:t>en la</w:t>
      </w:r>
      <w:r>
        <w:rPr>
          <w:spacing w:val="-5"/>
          <w:sz w:val="16"/>
        </w:rPr>
        <w:t> </w:t>
      </w:r>
      <w:r>
        <w:rPr>
          <w:sz w:val="16"/>
        </w:rPr>
        <w:t>sección</w:t>
      </w:r>
      <w:r>
        <w:rPr>
          <w:spacing w:val="-9"/>
          <w:sz w:val="16"/>
        </w:rPr>
        <w:t> </w:t>
      </w:r>
      <w:r>
        <w:rPr>
          <w:sz w:val="16"/>
        </w:rPr>
        <w:t>“Expresión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estados</w:t>
      </w:r>
      <w:r>
        <w:rPr>
          <w:spacing w:val="-7"/>
          <w:sz w:val="16"/>
        </w:rPr>
        <w:t> </w:t>
      </w:r>
      <w:r>
        <w:rPr>
          <w:sz w:val="16"/>
        </w:rPr>
        <w:t>contables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moneda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cierre</w:t>
      </w:r>
      <w:r>
        <w:rPr>
          <w:spacing w:val="-8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contexto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inflación</w:t>
      </w:r>
      <w:r>
        <w:rPr>
          <w:spacing w:val="-6"/>
          <w:sz w:val="16"/>
        </w:rPr>
        <w:t> </w:t>
      </w:r>
      <w:r>
        <w:rPr>
          <w:sz w:val="16"/>
        </w:rPr>
        <w:t>(ajuste</w:t>
      </w:r>
      <w:r>
        <w:rPr>
          <w:spacing w:val="-8"/>
          <w:sz w:val="16"/>
        </w:rPr>
        <w:t> </w:t>
      </w:r>
      <w:r>
        <w:rPr>
          <w:sz w:val="16"/>
        </w:rPr>
        <w:t>por inflación de los estados contables)” [ver los párrafos 176 a 200 de la RT 54], cualquier entidad –excepto que se trate de una entidad sin fines de lucro o de una cooperativa, comprendidas en la clasificación del inciso c) del párrafo 5– podrá presentar el estado de flujos de efectivo en forma sintética.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1" w:after="0"/>
        <w:ind w:left="710" w:right="284" w:hanging="360"/>
        <w:jc w:val="both"/>
        <w:rPr>
          <w:sz w:val="16"/>
        </w:rPr>
      </w:pP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6"/>
          <w:sz w:val="16"/>
        </w:rPr>
        <w:t> </w:t>
      </w:r>
      <w:r>
        <w:rPr>
          <w:sz w:val="16"/>
        </w:rPr>
        <w:t>párrafo</w:t>
      </w:r>
      <w:r>
        <w:rPr>
          <w:spacing w:val="-7"/>
          <w:sz w:val="16"/>
        </w:rPr>
        <w:t> </w:t>
      </w:r>
      <w:r>
        <w:rPr>
          <w:sz w:val="16"/>
        </w:rPr>
        <w:t>667,</w:t>
      </w:r>
      <w:r>
        <w:rPr>
          <w:spacing w:val="-5"/>
          <w:sz w:val="16"/>
        </w:rPr>
        <w:t> </w:t>
      </w:r>
      <w:r>
        <w:rPr>
          <w:sz w:val="16"/>
        </w:rPr>
        <w:t>inc.</w:t>
      </w:r>
      <w:r>
        <w:rPr>
          <w:spacing w:val="-8"/>
          <w:sz w:val="16"/>
        </w:rPr>
        <w:t> </w:t>
      </w:r>
      <w:r>
        <w:rPr>
          <w:sz w:val="16"/>
        </w:rPr>
        <w:t>c)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RT</w:t>
      </w:r>
      <w:r>
        <w:rPr>
          <w:spacing w:val="-6"/>
          <w:sz w:val="16"/>
        </w:rPr>
        <w:t> </w:t>
      </w:r>
      <w:r>
        <w:rPr>
          <w:sz w:val="16"/>
        </w:rPr>
        <w:t>54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requiere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cuando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7"/>
          <w:sz w:val="16"/>
        </w:rPr>
        <w:t> </w:t>
      </w:r>
      <w:r>
        <w:rPr>
          <w:sz w:val="16"/>
        </w:rPr>
        <w:t>entidad</w:t>
      </w:r>
      <w:r>
        <w:rPr>
          <w:spacing w:val="-4"/>
          <w:sz w:val="16"/>
        </w:rPr>
        <w:t> </w:t>
      </w:r>
      <w:r>
        <w:rPr>
          <w:sz w:val="16"/>
        </w:rPr>
        <w:t>use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presentación</w:t>
      </w:r>
      <w:r>
        <w:rPr>
          <w:spacing w:val="-10"/>
          <w:sz w:val="16"/>
        </w:rPr>
        <w:t> </w:t>
      </w:r>
      <w:r>
        <w:rPr>
          <w:sz w:val="16"/>
        </w:rPr>
        <w:t>simplificada, revele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notas</w:t>
      </w:r>
      <w:r>
        <w:rPr>
          <w:spacing w:val="-5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tal</w:t>
      </w:r>
      <w:r>
        <w:rPr>
          <w:spacing w:val="-8"/>
          <w:sz w:val="16"/>
        </w:rPr>
        <w:t> </w:t>
      </w:r>
      <w:r>
        <w:rPr>
          <w:sz w:val="16"/>
        </w:rPr>
        <w:t>simplificación</w:t>
      </w:r>
      <w:r>
        <w:rPr>
          <w:spacing w:val="-4"/>
          <w:sz w:val="16"/>
        </w:rPr>
        <w:t> </w:t>
      </w:r>
      <w:r>
        <w:rPr>
          <w:sz w:val="16"/>
        </w:rPr>
        <w:t>limita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información</w:t>
      </w:r>
      <w:r>
        <w:rPr>
          <w:spacing w:val="-5"/>
          <w:sz w:val="16"/>
        </w:rPr>
        <w:t> </w:t>
      </w:r>
      <w:r>
        <w:rPr>
          <w:sz w:val="16"/>
        </w:rPr>
        <w:t>disponible</w:t>
      </w:r>
      <w:r>
        <w:rPr>
          <w:spacing w:val="-9"/>
          <w:sz w:val="16"/>
        </w:rPr>
        <w:t> </w:t>
      </w:r>
      <w:r>
        <w:rPr>
          <w:sz w:val="16"/>
        </w:rPr>
        <w:t>para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6"/>
          <w:sz w:val="16"/>
        </w:rPr>
        <w:t> </w:t>
      </w:r>
      <w:r>
        <w:rPr>
          <w:sz w:val="16"/>
        </w:rPr>
        <w:t>análisis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interpretación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los estados contables; y sobre la capacidad de la entidad para generar fondos y la forma en que los aplica.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0" w:after="0"/>
        <w:ind w:left="710" w:right="281" w:hanging="360"/>
        <w:jc w:val="both"/>
        <w:rPr>
          <w:sz w:val="16"/>
        </w:rPr>
      </w:pPr>
      <w:r>
        <w:rPr>
          <w:sz w:val="16"/>
        </w:rPr>
        <w:t>Una</w:t>
      </w:r>
      <w:r>
        <w:rPr>
          <w:spacing w:val="-2"/>
          <w:sz w:val="16"/>
        </w:rPr>
        <w:t> </w:t>
      </w:r>
      <w:r>
        <w:rPr>
          <w:sz w:val="16"/>
        </w:rPr>
        <w:t>entidad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utilice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presentación</w:t>
      </w:r>
      <w:r>
        <w:rPr>
          <w:spacing w:val="-5"/>
          <w:sz w:val="16"/>
        </w:rPr>
        <w:t> </w:t>
      </w:r>
      <w:r>
        <w:rPr>
          <w:sz w:val="16"/>
        </w:rPr>
        <w:t>contemplada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párr.</w:t>
      </w:r>
      <w:r>
        <w:rPr>
          <w:spacing w:val="-1"/>
          <w:sz w:val="16"/>
        </w:rPr>
        <w:t> </w:t>
      </w:r>
      <w:r>
        <w:rPr>
          <w:sz w:val="16"/>
        </w:rPr>
        <w:t>666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RT</w:t>
      </w:r>
      <w:r>
        <w:rPr>
          <w:spacing w:val="-1"/>
          <w:sz w:val="16"/>
        </w:rPr>
        <w:t> </w:t>
      </w:r>
      <w:r>
        <w:rPr>
          <w:sz w:val="16"/>
        </w:rPr>
        <w:t>54 mantendrá</w:t>
      </w:r>
      <w:r>
        <w:rPr>
          <w:spacing w:val="-2"/>
          <w:sz w:val="16"/>
        </w:rPr>
        <w:t> </w:t>
      </w:r>
      <w:r>
        <w:rPr>
          <w:sz w:val="16"/>
        </w:rPr>
        <w:t>los resultados financieros</w:t>
      </w:r>
      <w:r>
        <w:rPr>
          <w:spacing w:val="-12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por</w:t>
      </w:r>
      <w:r>
        <w:rPr>
          <w:spacing w:val="-11"/>
          <w:sz w:val="16"/>
        </w:rPr>
        <w:t> </w:t>
      </w:r>
      <w:r>
        <w:rPr>
          <w:sz w:val="16"/>
        </w:rPr>
        <w:t>tenencia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efectivo</w:t>
      </w:r>
      <w:r>
        <w:rPr>
          <w:spacing w:val="-11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sus</w:t>
      </w:r>
      <w:r>
        <w:rPr>
          <w:spacing w:val="-11"/>
          <w:sz w:val="16"/>
        </w:rPr>
        <w:t> </w:t>
      </w:r>
      <w:r>
        <w:rPr>
          <w:sz w:val="16"/>
        </w:rPr>
        <w:t>equivalentes</w:t>
      </w:r>
      <w:r>
        <w:rPr>
          <w:spacing w:val="-12"/>
          <w:sz w:val="16"/>
        </w:rPr>
        <w:t> </w:t>
      </w:r>
      <w:r>
        <w:rPr>
          <w:sz w:val="16"/>
        </w:rPr>
        <w:t>dentro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total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“flujo</w:t>
      </w:r>
      <w:r>
        <w:rPr>
          <w:spacing w:val="-11"/>
          <w:sz w:val="16"/>
        </w:rPr>
        <w:t> </w:t>
      </w:r>
      <w:r>
        <w:rPr>
          <w:sz w:val="16"/>
        </w:rPr>
        <w:t>neto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efectivo</w:t>
      </w:r>
      <w:r>
        <w:rPr>
          <w:spacing w:val="-11"/>
          <w:sz w:val="16"/>
        </w:rPr>
        <w:t> </w:t>
      </w:r>
      <w:r>
        <w:rPr>
          <w:sz w:val="16"/>
        </w:rPr>
        <w:t>generado por (utilizado en) las actividades operativas” (RT 54, párr. 661).</w:t>
      </w:r>
    </w:p>
    <w:sectPr>
      <w:pgSz w:w="11910" w:h="16840"/>
      <w:pgMar w:header="493" w:footer="406" w:top="1320" w:bottom="6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6369558</wp:posOffset>
              </wp:positionH>
              <wp:positionV relativeFrom="page">
                <wp:posOffset>10294864</wp:posOffset>
              </wp:positionV>
              <wp:extent cx="161290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12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540009pt;margin-top:810.619263pt;width:12.7pt;height:9.8pt;mso-position-horizontal-relative:page;mso-position-vertical-relative:page;z-index:-159165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1068120</wp:posOffset>
              </wp:positionH>
              <wp:positionV relativeFrom="page">
                <wp:posOffset>300624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23.671232pt;width:165.15pt;height:15.25pt;mso-position-horizontal-relative:page;mso-position-vertical-relative:page;z-index:-15917056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71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1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710" w:hanging="360"/>
      <w:jc w:val="both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5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10" w:right="286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2026-01-21T16:56:06Z</dcterms:created>
  <dcterms:modified xsi:type="dcterms:W3CDTF">2026-01-21T16:56:06Z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