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A7274" w14:textId="77777777" w:rsidR="00BF3243" w:rsidRDefault="003374E9">
      <w:pPr>
        <w:pStyle w:val="Ttulo"/>
      </w:pPr>
      <w:r>
        <w:rPr>
          <w:color w:val="000000"/>
          <w:highlight w:val="lightGray"/>
        </w:rPr>
        <w:t>DENOMINACIÓN</w:t>
      </w:r>
      <w:r>
        <w:rPr>
          <w:color w:val="000000"/>
          <w:spacing w:val="14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color w:val="000000"/>
          <w:spacing w:val="12"/>
          <w:highlight w:val="lightGray"/>
        </w:rPr>
        <w:t xml:space="preserve"> </w:t>
      </w:r>
      <w:r>
        <w:rPr>
          <w:color w:val="000000"/>
          <w:highlight w:val="lightGray"/>
        </w:rPr>
        <w:t>LA</w:t>
      </w:r>
      <w:r>
        <w:rPr>
          <w:color w:val="000000"/>
          <w:spacing w:val="13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ENTIDAD</w:t>
      </w:r>
    </w:p>
    <w:p w14:paraId="27F5CB5F" w14:textId="77777777" w:rsidR="00BF3243" w:rsidRDefault="00BF3243">
      <w:pPr>
        <w:pStyle w:val="Textoindependiente"/>
        <w:ind w:left="0"/>
        <w:jc w:val="left"/>
        <w:rPr>
          <w:rFonts w:ascii="Trebuchet MS"/>
          <w:b/>
        </w:rPr>
      </w:pPr>
    </w:p>
    <w:p w14:paraId="1B87BF53" w14:textId="77777777" w:rsidR="00BF3243" w:rsidRDefault="00BF3243">
      <w:pPr>
        <w:pStyle w:val="Textoindependiente"/>
        <w:ind w:left="0"/>
        <w:jc w:val="left"/>
        <w:rPr>
          <w:rFonts w:ascii="Trebuchet MS"/>
          <w:b/>
        </w:rPr>
      </w:pPr>
    </w:p>
    <w:p w14:paraId="41C39564" w14:textId="77777777" w:rsidR="00BF3243" w:rsidRDefault="00BF3243">
      <w:pPr>
        <w:pStyle w:val="Textoindependiente"/>
        <w:spacing w:before="36"/>
        <w:ind w:left="0"/>
        <w:jc w:val="left"/>
        <w:rPr>
          <w:rFonts w:ascii="Trebuchet MS"/>
          <w:b/>
        </w:rPr>
      </w:pPr>
    </w:p>
    <w:p w14:paraId="0746E6B0" w14:textId="77777777" w:rsidR="00BF3243" w:rsidRDefault="003374E9">
      <w:pPr>
        <w:pStyle w:val="Ttulo1"/>
        <w:ind w:left="1249"/>
      </w:pP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GASTOS</w:t>
      </w:r>
    </w:p>
    <w:p w14:paraId="460C9ABF" w14:textId="77777777" w:rsidR="00BF3243" w:rsidRDefault="003374E9">
      <w:pPr>
        <w:spacing w:before="1"/>
        <w:ind w:left="1248" w:right="1387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ejercicio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finalizado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…/…/…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comparativo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con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ejercicio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anterior Cifras expresadas en … (Nota 1.3)</w:t>
      </w:r>
    </w:p>
    <w:p w14:paraId="6C995CB0" w14:textId="77777777" w:rsidR="00BF3243" w:rsidRDefault="00BF3243">
      <w:pPr>
        <w:pStyle w:val="Textoindependiente"/>
        <w:spacing w:before="10"/>
        <w:ind w:left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5891"/>
        <w:gridCol w:w="1038"/>
        <w:gridCol w:w="1035"/>
      </w:tblGrid>
      <w:tr w:rsidR="00BF3243" w14:paraId="5015DD97" w14:textId="77777777">
        <w:trPr>
          <w:trHeight w:hRule="exact" w:val="170"/>
        </w:trPr>
        <w:tc>
          <w:tcPr>
            <w:tcW w:w="497" w:type="dxa"/>
            <w:shd w:val="clear" w:color="auto" w:fill="F1F1F1"/>
          </w:tcPr>
          <w:p w14:paraId="5285BAD5" w14:textId="77777777" w:rsidR="00BF3243" w:rsidRDefault="003374E9">
            <w:pPr>
              <w:pStyle w:val="TableParagraph"/>
              <w:spacing w:line="140" w:lineRule="exact"/>
              <w:ind w:left="2" w:right="2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Ref.</w:t>
            </w:r>
          </w:p>
        </w:tc>
        <w:tc>
          <w:tcPr>
            <w:tcW w:w="5891" w:type="dxa"/>
            <w:shd w:val="clear" w:color="auto" w:fill="F1F1F1"/>
          </w:tcPr>
          <w:p w14:paraId="6F5D509F" w14:textId="77777777" w:rsidR="00BF3243" w:rsidRDefault="00BF324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8" w:type="dxa"/>
            <w:shd w:val="clear" w:color="auto" w:fill="F1F1F1"/>
          </w:tcPr>
          <w:p w14:paraId="69EADC65" w14:textId="77777777" w:rsidR="00BF3243" w:rsidRDefault="003374E9">
            <w:pPr>
              <w:pStyle w:val="TableParagraph"/>
              <w:spacing w:line="140" w:lineRule="exact"/>
              <w:ind w:left="319"/>
              <w:rPr>
                <w:sz w:val="14"/>
              </w:rPr>
            </w:pPr>
            <w:r>
              <w:rPr>
                <w:spacing w:val="-2"/>
                <w:sz w:val="14"/>
              </w:rPr>
              <w:t>Actual</w:t>
            </w:r>
          </w:p>
        </w:tc>
        <w:tc>
          <w:tcPr>
            <w:tcW w:w="1035" w:type="dxa"/>
            <w:shd w:val="clear" w:color="auto" w:fill="F1F1F1"/>
          </w:tcPr>
          <w:p w14:paraId="7215F99D" w14:textId="77777777" w:rsidR="00BF3243" w:rsidRDefault="003374E9">
            <w:pPr>
              <w:pStyle w:val="TableParagraph"/>
              <w:spacing w:line="140" w:lineRule="exact"/>
              <w:ind w:left="114"/>
              <w:rPr>
                <w:sz w:val="14"/>
              </w:rPr>
            </w:pPr>
            <w:r>
              <w:rPr>
                <w:spacing w:val="-2"/>
                <w:sz w:val="14"/>
              </w:rPr>
              <w:t>Comparativo</w:t>
            </w:r>
          </w:p>
        </w:tc>
      </w:tr>
      <w:tr w:rsidR="00BF3243" w14:paraId="53D6E369" w14:textId="77777777">
        <w:trPr>
          <w:trHeight w:hRule="exact" w:val="171"/>
        </w:trPr>
        <w:tc>
          <w:tcPr>
            <w:tcW w:w="497" w:type="dxa"/>
            <w:tcBorders>
              <w:bottom w:val="nil"/>
            </w:tcBorders>
          </w:tcPr>
          <w:p w14:paraId="71E2D6E0" w14:textId="77777777" w:rsidR="00BF3243" w:rsidRDefault="003374E9">
            <w:pPr>
              <w:pStyle w:val="TableParagraph"/>
              <w:spacing w:before="3" w:line="143" w:lineRule="exact"/>
              <w:ind w:left="21" w:righ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5891" w:type="dxa"/>
            <w:tcBorders>
              <w:bottom w:val="nil"/>
            </w:tcBorders>
          </w:tcPr>
          <w:p w14:paraId="265A343B" w14:textId="77777777" w:rsidR="00BF3243" w:rsidRDefault="003374E9">
            <w:pPr>
              <w:pStyle w:val="TableParagraph"/>
              <w:spacing w:before="3" w:line="143" w:lineRule="exact"/>
              <w:ind w:left="102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493120" behindDoc="1" locked="0" layoutInCell="1" allowOverlap="1" wp14:anchorId="65E3AE42" wp14:editId="6AA10E1D">
                      <wp:simplePos x="0" y="0"/>
                      <wp:positionH relativeFrom="column">
                        <wp:posOffset>496823</wp:posOffset>
                      </wp:positionH>
                      <wp:positionV relativeFrom="paragraph">
                        <wp:posOffset>94436</wp:posOffset>
                      </wp:positionV>
                      <wp:extent cx="382905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905" cy="9525"/>
                                <a:chOff x="0" y="0"/>
                                <a:chExt cx="38290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8290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9525">
                                      <a:moveTo>
                                        <a:pt x="3825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82524" y="9144"/>
                                      </a:lnTo>
                                      <a:lnTo>
                                        <a:pt x="382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0353B7" id="Group 2" o:spid="_x0000_s1026" style="position:absolute;margin-left:39.1pt;margin-top:7.45pt;width:30.15pt;height:.75pt;z-index:-15823360;mso-wrap-distance-left:0;mso-wrap-distance-right:0" coordsize="3829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wIfQIAAAoGAAAOAAAAZHJzL2Uyb0RvYy54bWykVFtr2zAUfh/sPwi9r07dZDSmThntEgal&#10;KzRjz4osX5iso0lKnP77HUlWYloYrPODfeTz6Vy+c7m5PfaSHISxHaiSXl7MKBGKQ9WppqQ/tutP&#10;15RYx1TFJChR0hdh6e3q44ebQRcihxZkJQxBI8oWgy5p65wusszyVvTMXoAWCpU1mJ45PJomqwwb&#10;0Hovs3w2+5wNYCptgAtr8e99VNJVsF/XgrvvdW2FI7KkGJsLbxPeO//OVjesaAzTbcfHMNg7ouhZ&#10;p9DpydQ9c4zsTffGVN9xAxZqd8Ghz6CuOy5CDpjN5exVNhsDex1yaYqh0SeakNpXPL3bLH88PBnS&#10;VSXNKVGsxxIFryT31Ay6KRCxMfpZP5mYH4oPwH9ZVGev9f7cnMHH2vT+EqZJjoHzlxPn4ugIx59X&#10;1/lytqCEo2q5yBexIrzFsr25w9uvf7mVsSI6DGGdwhg0dpY9k2f/j7znlmkRamI9NSN5V2fyYitd&#10;RfoCxnMXyLSFHWl8LzOnHFnB99ZtBASC2eHButjKVZJYmyR+VEk0OBB+FGQYBUcJjoKhBEdhF4nX&#10;zPl7vmpeJMO5Qu1YIK/r4SC2EFDOlwmruMjnlKT6YpxniFRTKE7hBJV06auDuYhZXs7nPio0ltTp&#10;G2ETr/+CDVM/McolWBH9+JyDwxMPiJsybUF21bqT0uduTbO7k4YcmN8u+KzXY7wTGHZjqruXdlC9&#10;YNMMuHJKan/vmRGUyG8K29LvpySYJOySYJy8g7DFAu3Guu3xJzOaaBRL6nCgHiF1JytSS2D8HhCx&#10;/qaCL3sHdef7JcQWIxoPOClBCgsnMDEuR7/RpueAOq/w1R8AAAD//wMAUEsDBBQABgAIAAAAIQBK&#10;LzGG4AAAAAgBAAAPAAAAZHJzL2Rvd25yZXYueG1sTI/NTsMwEITvSLyDtUjcqJP+EUKcqqqAU1WJ&#10;Fglxc+NtEjVeR7GbpG/P9gS33Z3R7DfZarSN6LHztSMF8SQCgVQ4U1Op4Ovw/pSA8EGT0Y0jVHBF&#10;D6v8/i7TqXEDfWK/D6XgEPKpVlCF0KZS+qJCq/3EtUisnVxndeC1K6Xp9MDhtpHTKFpKq2viD5Vu&#10;cVNhcd5frIKPQQ/rWfzWb8+nzfXnsNh9b2NU6vFhXL+CCDiGPzPc8BkdcmY6ugsZLxoFz8mUnXyf&#10;v4C46bNkAeLIw3IOMs/k/wL5LwAAAP//AwBQSwECLQAUAAYACAAAACEAtoM4kv4AAADhAQAAEwAA&#10;AAAAAAAAAAAAAAAAAAAAW0NvbnRlbnRfVHlwZXNdLnhtbFBLAQItABQABgAIAAAAIQA4/SH/1gAA&#10;AJQBAAALAAAAAAAAAAAAAAAAAC8BAABfcmVscy8ucmVsc1BLAQItABQABgAIAAAAIQAYRewIfQIA&#10;AAoGAAAOAAAAAAAAAAAAAAAAAC4CAABkcnMvZTJvRG9jLnhtbFBLAQItABQABgAIAAAAIQBKLzGG&#10;4AAAAAgBAAAPAAAAAAAAAAAAAAAAANcEAABkcnMvZG93bnJldi54bWxQSwUGAAAAAAQABADzAAAA&#10;5AUAAAAA&#10;">
                      <v:shape id="Graphic 3" o:spid="_x0000_s1027" style="position:absolute;width:382905;height:9525;visibility:visible;mso-wrap-style:square;v-text-anchor:top" coordsize="3829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PYHxQAAANoAAAAPAAAAZHJzL2Rvd25yZXYueG1sRI9Ba8JA&#10;FITvQv/D8gq96SZaiqSuIikFD5ZiFNrja/aZhGTfhuxq0vz6rlDwOMzMN8xqM5hGXKlzlWUF8SwC&#10;QZxbXXGh4HR8ny5BOI+ssbFMCn7JwWb9MFlhom3PB7pmvhABwi5BBaX3bSKly0sy6Ga2JQ7e2XYG&#10;fZBdIXWHfYCbRs6j6EUarDgslNhSWlJeZxejoO3jz5/9/rt+XnykdTP/etMjjUo9PQ7bVxCeBn8P&#10;/7d3WsECblfCDZDrPwAAAP//AwBQSwECLQAUAAYACAAAACEA2+H2y+4AAACFAQAAEwAAAAAAAAAA&#10;AAAAAAAAAAAAW0NvbnRlbnRfVHlwZXNdLnhtbFBLAQItABQABgAIAAAAIQBa9CxbvwAAABUBAAAL&#10;AAAAAAAAAAAAAAAAAB8BAABfcmVscy8ucmVsc1BLAQItABQABgAIAAAAIQDoOPYHxQAAANoAAAAP&#10;AAAAAAAAAAAAAAAAAAcCAABkcnMvZG93bnJldi54bWxQSwUGAAAAAAMAAwC3AAAA+QIAAAAA&#10;" path="m382524,l,,,9144r382524,l382524,xe" fillcolor="blu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FF"/>
                <w:sz w:val="14"/>
              </w:rPr>
              <w:t>Anexo</w:t>
            </w:r>
            <w:r>
              <w:rPr>
                <w:rFonts w:ascii="Arial"/>
                <w:b/>
                <w:i/>
                <w:color w:val="0000FF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FF"/>
                <w:spacing w:val="-5"/>
                <w:sz w:val="14"/>
              </w:rPr>
              <w:t>IX</w:t>
            </w:r>
          </w:p>
        </w:tc>
        <w:tc>
          <w:tcPr>
            <w:tcW w:w="1038" w:type="dxa"/>
            <w:vMerge w:val="restart"/>
          </w:tcPr>
          <w:p w14:paraId="6D9281CA" w14:textId="77777777" w:rsidR="00BF3243" w:rsidRDefault="00BF324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vMerge w:val="restart"/>
          </w:tcPr>
          <w:p w14:paraId="288A11BA" w14:textId="77777777" w:rsidR="00BF3243" w:rsidRDefault="00BF324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3243" w14:paraId="2F2E55D9" w14:textId="77777777">
        <w:trPr>
          <w:trHeight w:hRule="exact" w:val="160"/>
        </w:trPr>
        <w:tc>
          <w:tcPr>
            <w:tcW w:w="497" w:type="dxa"/>
            <w:tcBorders>
              <w:top w:val="nil"/>
              <w:bottom w:val="nil"/>
            </w:tcBorders>
          </w:tcPr>
          <w:p w14:paraId="75DF20FD" w14:textId="77777777" w:rsidR="00BF3243" w:rsidRDefault="00BF324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1" w:type="dxa"/>
            <w:tcBorders>
              <w:top w:val="nil"/>
              <w:bottom w:val="nil"/>
            </w:tcBorders>
          </w:tcPr>
          <w:p w14:paraId="0C016EB1" w14:textId="77777777" w:rsidR="00BF3243" w:rsidRDefault="003374E9"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fines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generales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(Nota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3.1)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14:paraId="2E003B9E" w14:textId="77777777" w:rsidR="00BF3243" w:rsidRDefault="00BF3243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14:paraId="59FBE288" w14:textId="77777777" w:rsidR="00BF3243" w:rsidRDefault="00BF3243">
            <w:pPr>
              <w:rPr>
                <w:sz w:val="2"/>
                <w:szCs w:val="2"/>
              </w:rPr>
            </w:pPr>
          </w:p>
        </w:tc>
      </w:tr>
      <w:tr w:rsidR="00BF3243" w14:paraId="44DF3B95" w14:textId="77777777">
        <w:trPr>
          <w:trHeight w:hRule="exact" w:val="160"/>
        </w:trPr>
        <w:tc>
          <w:tcPr>
            <w:tcW w:w="497" w:type="dxa"/>
            <w:tcBorders>
              <w:top w:val="nil"/>
              <w:bottom w:val="nil"/>
            </w:tcBorders>
          </w:tcPr>
          <w:p w14:paraId="1FA02287" w14:textId="77777777" w:rsidR="00BF3243" w:rsidRDefault="00BF324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1" w:type="dxa"/>
            <w:tcBorders>
              <w:top w:val="nil"/>
              <w:bottom w:val="nil"/>
            </w:tcBorders>
          </w:tcPr>
          <w:p w14:paraId="5D594D76" w14:textId="77777777" w:rsidR="00BF3243" w:rsidRDefault="003374E9"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fines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específicos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(Nota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3.1)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14:paraId="45FD9F74" w14:textId="77777777" w:rsidR="00BF3243" w:rsidRDefault="00BF3243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14:paraId="2DDAFB16" w14:textId="77777777" w:rsidR="00BF3243" w:rsidRDefault="00BF3243">
            <w:pPr>
              <w:rPr>
                <w:sz w:val="2"/>
                <w:szCs w:val="2"/>
              </w:rPr>
            </w:pPr>
          </w:p>
        </w:tc>
      </w:tr>
      <w:tr w:rsidR="00BF3243" w14:paraId="1191D6BB" w14:textId="77777777">
        <w:trPr>
          <w:trHeight w:hRule="exact" w:val="160"/>
        </w:trPr>
        <w:tc>
          <w:tcPr>
            <w:tcW w:w="497" w:type="dxa"/>
            <w:tcBorders>
              <w:top w:val="nil"/>
              <w:bottom w:val="nil"/>
            </w:tcBorders>
          </w:tcPr>
          <w:p w14:paraId="42FD8CA2" w14:textId="77777777" w:rsidR="00BF3243" w:rsidRDefault="00BF324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1" w:type="dxa"/>
            <w:tcBorders>
              <w:top w:val="nil"/>
              <w:bottom w:val="nil"/>
            </w:tcBorders>
          </w:tcPr>
          <w:p w14:paraId="140903F6" w14:textId="77777777" w:rsidR="00BF3243" w:rsidRDefault="003374E9"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diversos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(Nota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3.1)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14:paraId="38E9B76E" w14:textId="77777777" w:rsidR="00BF3243" w:rsidRDefault="00BF3243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14:paraId="792EC03D" w14:textId="77777777" w:rsidR="00BF3243" w:rsidRDefault="00BF3243">
            <w:pPr>
              <w:rPr>
                <w:sz w:val="2"/>
                <w:szCs w:val="2"/>
              </w:rPr>
            </w:pPr>
          </w:p>
        </w:tc>
      </w:tr>
      <w:tr w:rsidR="00BF3243" w14:paraId="2743F180" w14:textId="77777777">
        <w:trPr>
          <w:trHeight w:hRule="exact" w:val="160"/>
        </w:trPr>
        <w:tc>
          <w:tcPr>
            <w:tcW w:w="497" w:type="dxa"/>
            <w:tcBorders>
              <w:top w:val="nil"/>
              <w:bottom w:val="nil"/>
            </w:tcBorders>
          </w:tcPr>
          <w:p w14:paraId="22E76D12" w14:textId="77777777" w:rsidR="00BF3243" w:rsidRDefault="00BF324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1" w:type="dxa"/>
            <w:tcBorders>
              <w:top w:val="nil"/>
              <w:bottom w:val="nil"/>
            </w:tcBorders>
          </w:tcPr>
          <w:p w14:paraId="23501AAA" w14:textId="77777777" w:rsidR="00BF3243" w:rsidRDefault="003374E9"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sz w:val="14"/>
              </w:rPr>
              <w:t>Subsidios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recibidos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(Nota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3.2)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14:paraId="531BBE67" w14:textId="77777777" w:rsidR="00BF3243" w:rsidRDefault="00BF3243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14:paraId="6A645CAB" w14:textId="77777777" w:rsidR="00BF3243" w:rsidRDefault="00BF3243">
            <w:pPr>
              <w:rPr>
                <w:sz w:val="2"/>
                <w:szCs w:val="2"/>
              </w:rPr>
            </w:pPr>
          </w:p>
        </w:tc>
      </w:tr>
      <w:tr w:rsidR="00BF3243" w14:paraId="0B18A229" w14:textId="77777777">
        <w:trPr>
          <w:trHeight w:hRule="exact" w:val="805"/>
        </w:trPr>
        <w:tc>
          <w:tcPr>
            <w:tcW w:w="497" w:type="dxa"/>
            <w:vMerge w:val="restart"/>
            <w:tcBorders>
              <w:top w:val="nil"/>
              <w:bottom w:val="nil"/>
            </w:tcBorders>
          </w:tcPr>
          <w:p w14:paraId="74948C1F" w14:textId="77777777" w:rsidR="00BF3243" w:rsidRDefault="003374E9">
            <w:pPr>
              <w:pStyle w:val="TableParagraph"/>
              <w:spacing w:line="158" w:lineRule="exact"/>
              <w:ind w:left="160"/>
              <w:rPr>
                <w:sz w:val="14"/>
              </w:rPr>
            </w:pPr>
            <w:r>
              <w:rPr>
                <w:spacing w:val="-5"/>
                <w:sz w:val="14"/>
              </w:rPr>
              <w:t>(2)</w:t>
            </w:r>
          </w:p>
        </w:tc>
        <w:tc>
          <w:tcPr>
            <w:tcW w:w="5891" w:type="dxa"/>
            <w:vMerge w:val="restart"/>
            <w:tcBorders>
              <w:top w:val="nil"/>
              <w:bottom w:val="nil"/>
            </w:tcBorders>
          </w:tcPr>
          <w:p w14:paraId="01D06C30" w14:textId="77777777" w:rsidR="00BF3243" w:rsidRDefault="003374E9">
            <w:pPr>
              <w:pStyle w:val="TableParagraph"/>
              <w:spacing w:line="158" w:lineRule="exact"/>
              <w:ind w:left="102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Gastos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ordinarios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FF"/>
                <w:sz w:val="14"/>
              </w:rPr>
              <w:t>Anexo</w:t>
            </w:r>
            <w:r>
              <w:rPr>
                <w:rFonts w:ascii="Arial"/>
                <w:b/>
                <w:i/>
                <w:color w:val="0000FF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FF"/>
                <w:spacing w:val="-4"/>
                <w:sz w:val="14"/>
              </w:rPr>
              <w:t>VIII</w:t>
            </w:r>
          </w:p>
          <w:p w14:paraId="33D328B5" w14:textId="77777777" w:rsidR="00BF3243" w:rsidRDefault="003374E9">
            <w:pPr>
              <w:pStyle w:val="TableParagraph"/>
              <w:ind w:left="102" w:right="3106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493632" behindDoc="1" locked="0" layoutInCell="1" allowOverlap="1" wp14:anchorId="3FA75D34" wp14:editId="12AF7899">
                      <wp:simplePos x="0" y="0"/>
                      <wp:positionH relativeFrom="column">
                        <wp:posOffset>853439</wp:posOffset>
                      </wp:positionH>
                      <wp:positionV relativeFrom="paragraph">
                        <wp:posOffset>-9576</wp:posOffset>
                      </wp:positionV>
                      <wp:extent cx="430530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0530" cy="9525"/>
                                <a:chOff x="0" y="0"/>
                                <a:chExt cx="43053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305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0530" h="9525">
                                      <a:moveTo>
                                        <a:pt x="4300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30072" y="9144"/>
                                      </a:lnTo>
                                      <a:lnTo>
                                        <a:pt x="430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AE0B24" id="Group 4" o:spid="_x0000_s1026" style="position:absolute;margin-left:67.2pt;margin-top:-.75pt;width:33.9pt;height:.75pt;z-index:-15822848;mso-wrap-distance-left:0;mso-wrap-distance-right:0" coordsize="4305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kgAfgIAAAoGAAAOAAAAZHJzL2Uyb0RvYy54bWykVE1v2zAMvQ/YfxB0X52mybYadYqhXYoB&#10;RVegGXZWZPkDk0VNUuL034+iI8dogQHrfJApkaLI90heXR86zfbK+RZMwc/PZpwpI6FsTV3wH5v1&#10;h8+c+SBMKTQYVfBn5fn16v27q97mag4N6FI5hk6Mz3tb8CYEm2eZl43qhD8DqwwqK3CdCLh1dVY6&#10;0aP3Tmfz2exj1oMrrQOpvMfT20HJV+S/qpQM36vKq8B0wTG2QKujdRvXbHUl8toJ27TyGIZ4QxSd&#10;aA0+Orq6FUGwnWtfuepa6cBDFc4kdBlUVSsV5YDZnM9eZHPnYGcplzrvazvChNC+wOnNbuXD/tGx&#10;tiz4gjMjOqSIXmWLCE1v6xwt7px9so9uyA/Fe5C/PKqzl/q4r0/Gh8p18RKmyQ6E+fOIuToEJvFw&#10;cTFbXiAzElWXy/lyYEQ2SNurO7L5+pdbmciHBymsMYzeYmX5E3j+/8B7aoRVxImP0BzBW57AG0qJ&#10;8ohPo03EjsD0uT/C+FZkxhxFLnc+3CkggMX+3oehlMskiSZJ8mCS6LAhYitoaoXAGbaC4wxbYTsA&#10;b0WI9yJrUWT9iaHmSFDUdbBXGyCrEGlCFmef5pwlfjHOk4k2U1PkemKVdOlvyd1gc3m+oCpEZ0md&#10;/oPZ5NV/saWunziVGryK5TzkPAqEAx5Okfag23Ldah1z967e3mjH9iJOF/zW64giXpmYYTUm3qO0&#10;hfIZi6bHkVNw/3snnOJMfzNYlnE+JcElYZsEF/QN0BQj2J0Pm8NP4SyzKBY8YEM9QKpOkaeSiEmN&#10;tvGmgS+7AFUb64ViGyI6brBTSKKBQ6kch2OcaNM9WZ1G+OoPAAAA//8DAFBLAwQUAAYACAAAACEA&#10;hJiC4N0AAAAHAQAADwAAAGRycy9kb3ducmV2LnhtbEyOwWrDMBBE74X+g9hCb4lkJynFtRxCaHsK&#10;hSaF0tvG2tgmlmQsxXb+vttTcxzmMfPy9WRbMVAfGu80JHMFglzpTeMqDV+Ht9kziBDRGWy9Iw1X&#10;CrAu7u9yzIwf3ScN+1gJHnEhQw11jF0mZShrshjmviPH3cn3FiPHvpKmx5HHbStTpZ6kxcbxQ40d&#10;bWsqz/uL1fA+4rhZJK/D7nzaXn8Oq4/vXUJaPz5MmxcQkab4D8OfPqtDwU5Hf3EmiJbzYrlkVMMs&#10;WYFgIFVpCuKoQYEscnnrX/wCAAD//wMAUEsBAi0AFAAGAAgAAAAhALaDOJL+AAAA4QEAABMAAAAA&#10;AAAAAAAAAAAAAAAAAFtDb250ZW50X1R5cGVzXS54bWxQSwECLQAUAAYACAAAACEAOP0h/9YAAACU&#10;AQAACwAAAAAAAAAAAAAAAAAvAQAAX3JlbHMvLnJlbHNQSwECLQAUAAYACAAAACEA/rJIAH4CAAAK&#10;BgAADgAAAAAAAAAAAAAAAAAuAgAAZHJzL2Uyb0RvYy54bWxQSwECLQAUAAYACAAAACEAhJiC4N0A&#10;AAAHAQAADwAAAAAAAAAAAAAAAADYBAAAZHJzL2Rvd25yZXYueG1sUEsFBgAAAAAEAAQA8wAAAOIF&#10;AAAAAA==&#10;">
                      <v:shape id="Graphic 5" o:spid="_x0000_s1027" style="position:absolute;width:430530;height:9525;visibility:visible;mso-wrap-style:square;v-text-anchor:top" coordsize="4305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0I1wQAAANoAAAAPAAAAZHJzL2Rvd25yZXYueG1sRI9PawIx&#10;FMTvBb9DeEJvNWuhRVajyIIggge3f7w+kudmcfOyJKm7fntTKPQ4zMxvmNVmdJ24UYitZwXzWQGC&#10;WHvTcqPg82P3sgARE7LBzjMpuFOEzXrytMLS+IFPdKtTIzKEY4kKbEp9KWXUlhzGme+Js3fxwWHK&#10;MjTSBBwy3HXytSjepcOW84LFnipL+lr/OAXNtw1Vknbw+qAXZ3u8f9VdpdTzdNwuQSQa03/4r703&#10;Ct7g90q+AXL9AAAA//8DAFBLAQItABQABgAIAAAAIQDb4fbL7gAAAIUBAAATAAAAAAAAAAAAAAAA&#10;AAAAAABbQ29udGVudF9UeXBlc10ueG1sUEsBAi0AFAAGAAgAAAAhAFr0LFu/AAAAFQEAAAsAAAAA&#10;AAAAAAAAAAAAHwEAAF9yZWxzLy5yZWxzUEsBAi0AFAAGAAgAAAAhAKYfQjXBAAAA2gAAAA8AAAAA&#10;AAAAAAAAAAAABwIAAGRycy9kb3ducmV2LnhtbFBLBQYAAAAAAwADALcAAAD1AgAAAAA=&#10;" path="m430072,l,,,9144r430072,l430072,xe" fillcolor="blu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 xml:space="preserve">Gastos para fines generales (Nota </w:t>
            </w:r>
            <w:proofErr w:type="gramStart"/>
            <w:r>
              <w:rPr>
                <w:sz w:val="14"/>
              </w:rPr>
              <w:t>3.3 )</w:t>
            </w:r>
            <w:proofErr w:type="gramEnd"/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Gastos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fines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específicos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(Nota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3.3)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Gastos diversos (Nota 3.3 )</w:t>
            </w:r>
          </w:p>
          <w:p w14:paraId="46CD753B" w14:textId="77777777" w:rsidR="00BF3243" w:rsidRDefault="003374E9">
            <w:pPr>
              <w:pStyle w:val="TableParagraph"/>
              <w:spacing w:line="160" w:lineRule="exact"/>
              <w:ind w:left="102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consumidos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vendidos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servicios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prestados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color w:val="0000FF"/>
                <w:sz w:val="14"/>
                <w:u w:val="single" w:color="0000FF"/>
              </w:rPr>
              <w:t>Anexo</w:t>
            </w:r>
            <w:r>
              <w:rPr>
                <w:rFonts w:ascii="Arial"/>
                <w:b/>
                <w:color w:val="0000FF"/>
                <w:spacing w:val="-7"/>
                <w:sz w:val="14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pacing w:val="-4"/>
                <w:sz w:val="14"/>
                <w:u w:val="single" w:color="0000FF"/>
              </w:rPr>
              <w:t>VI</w:t>
            </w:r>
            <w:r>
              <w:rPr>
                <w:rFonts w:ascii="Arial"/>
                <w:b/>
                <w:color w:val="0000FF"/>
                <w:spacing w:val="-4"/>
                <w:sz w:val="14"/>
              </w:rPr>
              <w:t>I</w:t>
            </w:r>
            <w:r>
              <w:rPr>
                <w:spacing w:val="-4"/>
                <w:sz w:val="14"/>
              </w:rPr>
              <w:t>)</w:t>
            </w:r>
          </w:p>
          <w:p w14:paraId="5317423B" w14:textId="77777777" w:rsidR="00BF3243" w:rsidRDefault="003374E9">
            <w:pPr>
              <w:pStyle w:val="TableParagraph"/>
              <w:spacing w:before="9" w:line="147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Superávit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(déficit)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bruto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14:paraId="3E54BD8E" w14:textId="77777777" w:rsidR="00BF3243" w:rsidRDefault="00BF3243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14:paraId="53F8CE8C" w14:textId="77777777" w:rsidR="00BF3243" w:rsidRDefault="00BF3243">
            <w:pPr>
              <w:rPr>
                <w:sz w:val="2"/>
                <w:szCs w:val="2"/>
              </w:rPr>
            </w:pPr>
          </w:p>
        </w:tc>
      </w:tr>
      <w:tr w:rsidR="00BF3243" w14:paraId="7BADB0FF" w14:textId="77777777">
        <w:trPr>
          <w:trHeight w:hRule="exact" w:val="172"/>
        </w:trPr>
        <w:tc>
          <w:tcPr>
            <w:tcW w:w="497" w:type="dxa"/>
            <w:vMerge/>
            <w:tcBorders>
              <w:top w:val="nil"/>
              <w:bottom w:val="nil"/>
            </w:tcBorders>
          </w:tcPr>
          <w:p w14:paraId="4B11B571" w14:textId="77777777" w:rsidR="00BF3243" w:rsidRDefault="00BF3243">
            <w:pPr>
              <w:rPr>
                <w:sz w:val="2"/>
                <w:szCs w:val="2"/>
              </w:rPr>
            </w:pPr>
          </w:p>
        </w:tc>
        <w:tc>
          <w:tcPr>
            <w:tcW w:w="5891" w:type="dxa"/>
            <w:vMerge/>
            <w:tcBorders>
              <w:top w:val="nil"/>
              <w:bottom w:val="nil"/>
            </w:tcBorders>
          </w:tcPr>
          <w:p w14:paraId="016A92E3" w14:textId="77777777" w:rsidR="00BF3243" w:rsidRDefault="00BF3243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 w14:paraId="7091B1FA" w14:textId="77777777" w:rsidR="00BF3243" w:rsidRDefault="00BF324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5" w:type="dxa"/>
          </w:tcPr>
          <w:p w14:paraId="2065C7C6" w14:textId="77777777" w:rsidR="00BF3243" w:rsidRDefault="00BF324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3243" w14:paraId="514810E8" w14:textId="77777777">
        <w:trPr>
          <w:trHeight w:hRule="exact" w:val="1295"/>
        </w:trPr>
        <w:tc>
          <w:tcPr>
            <w:tcW w:w="497" w:type="dxa"/>
            <w:tcBorders>
              <w:top w:val="nil"/>
              <w:bottom w:val="nil"/>
            </w:tcBorders>
          </w:tcPr>
          <w:p w14:paraId="516C1E12" w14:textId="77777777" w:rsidR="00BF3243" w:rsidRDefault="00BF3243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BCA870F" w14:textId="77777777" w:rsidR="00BF3243" w:rsidRDefault="00BF3243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3AC2137" w14:textId="77777777" w:rsidR="00BF3243" w:rsidRDefault="00BF3243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D8321DB" w14:textId="77777777" w:rsidR="00BF3243" w:rsidRDefault="00BF3243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AB6B776" w14:textId="77777777" w:rsidR="00BF3243" w:rsidRDefault="00BF3243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EA8E8BC" w14:textId="77777777" w:rsidR="00BF3243" w:rsidRDefault="00BF3243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0F536FB" w14:textId="77777777" w:rsidR="00BF3243" w:rsidRDefault="00BF3243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6A4B2E59" w14:textId="77777777" w:rsidR="00BF3243" w:rsidRDefault="003374E9">
            <w:pPr>
              <w:pStyle w:val="TableParagraph"/>
              <w:spacing w:line="143" w:lineRule="exact"/>
              <w:ind w:left="21" w:righ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(3)</w:t>
            </w:r>
          </w:p>
        </w:tc>
        <w:tc>
          <w:tcPr>
            <w:tcW w:w="5891" w:type="dxa"/>
            <w:tcBorders>
              <w:top w:val="nil"/>
              <w:bottom w:val="nil"/>
            </w:tcBorders>
          </w:tcPr>
          <w:p w14:paraId="613DED23" w14:textId="77777777" w:rsidR="00BF3243" w:rsidRDefault="00BF3243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14:paraId="1FBF4BA2" w14:textId="77777777" w:rsidR="00BF3243" w:rsidRDefault="003374E9">
            <w:pPr>
              <w:pStyle w:val="TableParagraph"/>
              <w:ind w:left="102" w:right="3106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administración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color w:val="0000FF"/>
                <w:sz w:val="14"/>
                <w:u w:val="single" w:color="0000FF"/>
              </w:rPr>
              <w:t>Anexo</w:t>
            </w:r>
            <w:r>
              <w:rPr>
                <w:rFonts w:ascii="Arial" w:hAnsi="Arial"/>
                <w:b/>
                <w:color w:val="0000FF"/>
                <w:spacing w:val="-9"/>
                <w:sz w:val="14"/>
                <w:u w:val="single" w:color="0000FF"/>
              </w:rPr>
              <w:t xml:space="preserve"> </w:t>
            </w:r>
            <w:r>
              <w:rPr>
                <w:rFonts w:ascii="Arial" w:hAnsi="Arial"/>
                <w:b/>
                <w:color w:val="0000FF"/>
                <w:sz w:val="14"/>
                <w:u w:val="single" w:color="0000FF"/>
              </w:rPr>
              <w:t>VIII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Otros gastos operativos (</w:t>
            </w:r>
            <w:r>
              <w:rPr>
                <w:rFonts w:ascii="Arial" w:hAnsi="Arial"/>
                <w:b/>
                <w:color w:val="0000FF"/>
                <w:sz w:val="14"/>
                <w:u w:val="single" w:color="0000FF"/>
              </w:rPr>
              <w:t>Anexo VIII</w:t>
            </w:r>
            <w:r>
              <w:rPr>
                <w:sz w:val="14"/>
              </w:rPr>
              <w:t>)</w:t>
            </w:r>
          </w:p>
          <w:p w14:paraId="08C53942" w14:textId="77777777" w:rsidR="00BF3243" w:rsidRDefault="003374E9">
            <w:pPr>
              <w:pStyle w:val="TableParagraph"/>
              <w:ind w:left="102" w:right="826"/>
              <w:rPr>
                <w:sz w:val="14"/>
              </w:rPr>
            </w:pPr>
            <w:r>
              <w:rPr>
                <w:sz w:val="14"/>
              </w:rPr>
              <w:t>Depreciaciones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amortización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intangibles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color w:val="0000FF"/>
                <w:sz w:val="14"/>
                <w:u w:val="single" w:color="0000FF"/>
              </w:rPr>
              <w:t>Anexo</w:t>
            </w:r>
            <w:r>
              <w:rPr>
                <w:rFonts w:ascii="Arial" w:hAnsi="Arial"/>
                <w:b/>
                <w:color w:val="0000FF"/>
                <w:spacing w:val="-6"/>
                <w:sz w:val="14"/>
                <w:u w:val="single" w:color="0000FF"/>
              </w:rPr>
              <w:t xml:space="preserve"> </w:t>
            </w:r>
            <w:r>
              <w:rPr>
                <w:rFonts w:ascii="Arial" w:hAnsi="Arial"/>
                <w:b/>
                <w:color w:val="0000FF"/>
                <w:sz w:val="14"/>
                <w:u w:val="single" w:color="0000FF"/>
              </w:rPr>
              <w:t>VII</w:t>
            </w:r>
            <w:r>
              <w:rPr>
                <w:rFonts w:ascii="Arial" w:hAnsi="Arial"/>
                <w:b/>
                <w:color w:val="0000FF"/>
                <w:sz w:val="14"/>
              </w:rPr>
              <w:t>I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Depreciaciones de propiedades de inversión</w:t>
            </w:r>
          </w:p>
          <w:p w14:paraId="11323D52" w14:textId="77777777" w:rsidR="00BF3243" w:rsidRDefault="003374E9">
            <w:pPr>
              <w:pStyle w:val="TableParagraph"/>
              <w:spacing w:line="160" w:lineRule="atLeast"/>
              <w:ind w:left="102" w:right="826"/>
              <w:rPr>
                <w:sz w:val="14"/>
              </w:rPr>
            </w:pPr>
            <w:r>
              <w:rPr>
                <w:sz w:val="14"/>
              </w:rPr>
              <w:t>Cambios en el valor razonable de propiedades de inversión (</w:t>
            </w:r>
            <w:r>
              <w:rPr>
                <w:rFonts w:ascii="Arial" w:hAnsi="Arial"/>
                <w:b/>
                <w:color w:val="0000FF"/>
                <w:sz w:val="14"/>
                <w:u w:val="single" w:color="0000FF"/>
              </w:rPr>
              <w:t>Anexo IV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Pérdidas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desvalorización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(reversión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pérdidas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desvalorización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(Nota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3.6)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Otros resultados financieros y por tenencia</w:t>
            </w:r>
          </w:p>
        </w:tc>
        <w:tc>
          <w:tcPr>
            <w:tcW w:w="1038" w:type="dxa"/>
            <w:vMerge w:val="restart"/>
          </w:tcPr>
          <w:p w14:paraId="4F6729F0" w14:textId="77777777" w:rsidR="00BF3243" w:rsidRDefault="00BF324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vMerge w:val="restart"/>
          </w:tcPr>
          <w:p w14:paraId="43C0AA0A" w14:textId="77777777" w:rsidR="00BF3243" w:rsidRDefault="00BF324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3243" w14:paraId="16357D39" w14:textId="77777777">
        <w:trPr>
          <w:trHeight w:hRule="exact" w:val="160"/>
        </w:trPr>
        <w:tc>
          <w:tcPr>
            <w:tcW w:w="497" w:type="dxa"/>
            <w:tcBorders>
              <w:top w:val="nil"/>
              <w:bottom w:val="nil"/>
            </w:tcBorders>
          </w:tcPr>
          <w:p w14:paraId="54BD74DD" w14:textId="77777777" w:rsidR="00BF3243" w:rsidRDefault="00BF324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1" w:type="dxa"/>
            <w:tcBorders>
              <w:top w:val="nil"/>
              <w:bottom w:val="nil"/>
            </w:tcBorders>
          </w:tcPr>
          <w:p w14:paraId="0339214C" w14:textId="77777777" w:rsidR="00BF3243" w:rsidRDefault="003374E9"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sz w:val="14"/>
              </w:rPr>
              <w:t>(incluyendo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resultado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cambios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poder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adquisitivo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moneda)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(Nota</w:t>
            </w:r>
            <w:r>
              <w:rPr>
                <w:spacing w:val="-4"/>
                <w:sz w:val="14"/>
              </w:rPr>
              <w:t xml:space="preserve"> 3.5)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14:paraId="41BF2060" w14:textId="77777777" w:rsidR="00BF3243" w:rsidRDefault="00BF3243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14:paraId="5C49CC75" w14:textId="77777777" w:rsidR="00BF3243" w:rsidRDefault="00BF3243">
            <w:pPr>
              <w:rPr>
                <w:sz w:val="2"/>
                <w:szCs w:val="2"/>
              </w:rPr>
            </w:pPr>
          </w:p>
        </w:tc>
      </w:tr>
      <w:tr w:rsidR="00BF3243" w14:paraId="5B349C85" w14:textId="77777777">
        <w:trPr>
          <w:trHeight w:hRule="exact" w:val="325"/>
        </w:trPr>
        <w:tc>
          <w:tcPr>
            <w:tcW w:w="497" w:type="dxa"/>
            <w:vMerge w:val="restart"/>
            <w:tcBorders>
              <w:top w:val="nil"/>
              <w:bottom w:val="nil"/>
            </w:tcBorders>
          </w:tcPr>
          <w:p w14:paraId="1D11A995" w14:textId="77777777" w:rsidR="00BF3243" w:rsidRDefault="003374E9">
            <w:pPr>
              <w:pStyle w:val="TableParagraph"/>
              <w:spacing w:line="158" w:lineRule="exact"/>
              <w:ind w:left="160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5891" w:type="dxa"/>
            <w:vMerge w:val="restart"/>
            <w:tcBorders>
              <w:top w:val="nil"/>
              <w:bottom w:val="nil"/>
            </w:tcBorders>
          </w:tcPr>
          <w:p w14:paraId="49A3839B" w14:textId="77777777" w:rsidR="00BF3243" w:rsidRDefault="003374E9">
            <w:pPr>
              <w:pStyle w:val="TableParagraph"/>
              <w:spacing w:line="242" w:lineRule="auto"/>
              <w:ind w:left="102" w:right="3915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ingresos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(Nota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3.4)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Otros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egresos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(Nota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3.4)</w:t>
            </w:r>
          </w:p>
          <w:p w14:paraId="20FCC048" w14:textId="77777777" w:rsidR="00BF3243" w:rsidRDefault="003374E9">
            <w:pPr>
              <w:pStyle w:val="TableParagraph"/>
              <w:spacing w:before="5" w:line="145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Superávit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(déficit)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antes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impuesto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las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ganancias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14:paraId="1B693E02" w14:textId="77777777" w:rsidR="00BF3243" w:rsidRDefault="00BF3243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14:paraId="2F7CA0E1" w14:textId="77777777" w:rsidR="00BF3243" w:rsidRDefault="00BF3243">
            <w:pPr>
              <w:rPr>
                <w:sz w:val="2"/>
                <w:szCs w:val="2"/>
              </w:rPr>
            </w:pPr>
          </w:p>
        </w:tc>
      </w:tr>
      <w:tr w:rsidR="00BF3243" w14:paraId="4DE59A76" w14:textId="77777777">
        <w:trPr>
          <w:trHeight w:hRule="exact" w:val="170"/>
        </w:trPr>
        <w:tc>
          <w:tcPr>
            <w:tcW w:w="497" w:type="dxa"/>
            <w:vMerge/>
            <w:tcBorders>
              <w:top w:val="nil"/>
              <w:bottom w:val="nil"/>
            </w:tcBorders>
          </w:tcPr>
          <w:p w14:paraId="0C6590C8" w14:textId="77777777" w:rsidR="00BF3243" w:rsidRDefault="00BF3243">
            <w:pPr>
              <w:rPr>
                <w:sz w:val="2"/>
                <w:szCs w:val="2"/>
              </w:rPr>
            </w:pPr>
          </w:p>
        </w:tc>
        <w:tc>
          <w:tcPr>
            <w:tcW w:w="5891" w:type="dxa"/>
            <w:vMerge/>
            <w:tcBorders>
              <w:top w:val="nil"/>
              <w:bottom w:val="nil"/>
            </w:tcBorders>
          </w:tcPr>
          <w:p w14:paraId="2F7002CD" w14:textId="77777777" w:rsidR="00BF3243" w:rsidRDefault="00BF3243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 w14:paraId="77284A83" w14:textId="77777777" w:rsidR="00BF3243" w:rsidRDefault="00BF324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5" w:type="dxa"/>
          </w:tcPr>
          <w:p w14:paraId="5FBF6DD6" w14:textId="77777777" w:rsidR="00BF3243" w:rsidRDefault="00BF324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3243" w14:paraId="7D65D984" w14:textId="77777777">
        <w:trPr>
          <w:trHeight w:hRule="exact" w:val="170"/>
        </w:trPr>
        <w:tc>
          <w:tcPr>
            <w:tcW w:w="497" w:type="dxa"/>
            <w:tcBorders>
              <w:top w:val="nil"/>
              <w:bottom w:val="nil"/>
            </w:tcBorders>
          </w:tcPr>
          <w:p w14:paraId="7C637409" w14:textId="77777777" w:rsidR="00BF3243" w:rsidRDefault="003374E9">
            <w:pPr>
              <w:pStyle w:val="TableParagraph"/>
              <w:spacing w:before="5" w:line="145" w:lineRule="exact"/>
              <w:ind w:left="21" w:righ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(5)</w:t>
            </w:r>
          </w:p>
        </w:tc>
        <w:tc>
          <w:tcPr>
            <w:tcW w:w="5891" w:type="dxa"/>
            <w:tcBorders>
              <w:top w:val="nil"/>
              <w:bottom w:val="nil"/>
            </w:tcBorders>
          </w:tcPr>
          <w:p w14:paraId="0E676EF0" w14:textId="77777777" w:rsidR="00BF3243" w:rsidRDefault="003374E9">
            <w:pPr>
              <w:pStyle w:val="TableParagraph"/>
              <w:spacing w:before="5" w:line="145" w:lineRule="exact"/>
              <w:ind w:left="102"/>
              <w:rPr>
                <w:sz w:val="14"/>
              </w:rPr>
            </w:pPr>
            <w:r>
              <w:rPr>
                <w:sz w:val="14"/>
              </w:rPr>
              <w:t>Impuesto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ganancias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(Nota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6)</w:t>
            </w:r>
          </w:p>
        </w:tc>
        <w:tc>
          <w:tcPr>
            <w:tcW w:w="1038" w:type="dxa"/>
          </w:tcPr>
          <w:p w14:paraId="3117B5CB" w14:textId="77777777" w:rsidR="00BF3243" w:rsidRDefault="00BF324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5" w:type="dxa"/>
          </w:tcPr>
          <w:p w14:paraId="75A606F5" w14:textId="77777777" w:rsidR="00BF3243" w:rsidRDefault="00BF324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3243" w14:paraId="73A6753C" w14:textId="77777777">
        <w:trPr>
          <w:trHeight w:hRule="exact" w:val="170"/>
        </w:trPr>
        <w:tc>
          <w:tcPr>
            <w:tcW w:w="497" w:type="dxa"/>
            <w:tcBorders>
              <w:top w:val="nil"/>
            </w:tcBorders>
          </w:tcPr>
          <w:p w14:paraId="4756882D" w14:textId="77777777" w:rsidR="00BF3243" w:rsidRDefault="00BF324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1" w:type="dxa"/>
            <w:tcBorders>
              <w:top w:val="nil"/>
            </w:tcBorders>
          </w:tcPr>
          <w:p w14:paraId="5DB2FD7D" w14:textId="77777777" w:rsidR="00BF3243" w:rsidRDefault="003374E9">
            <w:pPr>
              <w:pStyle w:val="TableParagraph"/>
              <w:spacing w:before="5" w:line="140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Superávit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(déficit)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ejercicio</w:t>
            </w:r>
          </w:p>
        </w:tc>
        <w:tc>
          <w:tcPr>
            <w:tcW w:w="1038" w:type="dxa"/>
            <w:shd w:val="clear" w:color="auto" w:fill="F1F1F1"/>
          </w:tcPr>
          <w:p w14:paraId="36B387C4" w14:textId="77777777" w:rsidR="00BF3243" w:rsidRDefault="00BF324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5" w:type="dxa"/>
            <w:shd w:val="clear" w:color="auto" w:fill="F1F1F1"/>
          </w:tcPr>
          <w:p w14:paraId="206C3E80" w14:textId="77777777" w:rsidR="00BF3243" w:rsidRDefault="00BF3243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3EC7C9A" w14:textId="77777777" w:rsidR="00BF3243" w:rsidRDefault="00BF3243">
      <w:pPr>
        <w:pStyle w:val="Textoindependiente"/>
        <w:spacing w:before="9"/>
        <w:ind w:left="0"/>
        <w:jc w:val="left"/>
        <w:rPr>
          <w:rFonts w:ascii="Arial"/>
          <w:b/>
        </w:rPr>
      </w:pPr>
    </w:p>
    <w:p w14:paraId="3274F8E3" w14:textId="77777777" w:rsidR="00BF3243" w:rsidRDefault="003374E9">
      <w:pPr>
        <w:spacing w:line="183" w:lineRule="exact"/>
        <w:ind w:left="2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Referencias</w:t>
      </w:r>
      <w:r>
        <w:rPr>
          <w:rFonts w:ascii="Arial"/>
          <w:b/>
          <w:spacing w:val="-2"/>
          <w:sz w:val="16"/>
        </w:rPr>
        <w:t>:</w:t>
      </w:r>
    </w:p>
    <w:p w14:paraId="4C7CE73E" w14:textId="77777777" w:rsidR="00BF3243" w:rsidRDefault="003374E9">
      <w:pPr>
        <w:pStyle w:val="Prrafodelista"/>
        <w:numPr>
          <w:ilvl w:val="0"/>
          <w:numId w:val="1"/>
        </w:numPr>
        <w:tabs>
          <w:tab w:val="left" w:pos="361"/>
        </w:tabs>
        <w:ind w:left="361" w:right="136"/>
        <w:jc w:val="both"/>
        <w:rPr>
          <w:sz w:val="16"/>
        </w:rPr>
      </w:pPr>
      <w:r>
        <w:rPr>
          <w:sz w:val="16"/>
        </w:rPr>
        <w:t>En el ejemplo, dentro de la línea “Recursos para fines generales” se incluyen reintegros y desgravaciones, si las hubiere.</w:t>
      </w:r>
      <w:r>
        <w:rPr>
          <w:spacing w:val="-1"/>
          <w:sz w:val="16"/>
        </w:rPr>
        <w:t xml:space="preserve"> </w:t>
      </w:r>
      <w:r>
        <w:rPr>
          <w:sz w:val="16"/>
        </w:rPr>
        <w:t>Tales</w:t>
      </w:r>
      <w:r>
        <w:rPr>
          <w:spacing w:val="-2"/>
          <w:sz w:val="16"/>
        </w:rPr>
        <w:t xml:space="preserve"> </w:t>
      </w:r>
      <w:r>
        <w:rPr>
          <w:sz w:val="16"/>
        </w:rPr>
        <w:t>conceptos,</w:t>
      </w:r>
      <w:r>
        <w:rPr>
          <w:spacing w:val="-5"/>
          <w:sz w:val="16"/>
        </w:rPr>
        <w:t xml:space="preserve"> </w:t>
      </w:r>
      <w:r>
        <w:rPr>
          <w:sz w:val="16"/>
        </w:rPr>
        <w:t>cuando</w:t>
      </w:r>
      <w:r>
        <w:rPr>
          <w:spacing w:val="-2"/>
          <w:sz w:val="16"/>
        </w:rPr>
        <w:t xml:space="preserve"> </w:t>
      </w:r>
      <w:r>
        <w:rPr>
          <w:sz w:val="16"/>
        </w:rPr>
        <w:t>dependan</w:t>
      </w:r>
      <w:r>
        <w:rPr>
          <w:spacing w:val="-2"/>
          <w:sz w:val="16"/>
        </w:rPr>
        <w:t xml:space="preserve"> </w:t>
      </w:r>
      <w:r>
        <w:rPr>
          <w:sz w:val="16"/>
        </w:rPr>
        <w:t>tanto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los</w:t>
      </w:r>
      <w:r>
        <w:rPr>
          <w:spacing w:val="-2"/>
          <w:sz w:val="16"/>
        </w:rPr>
        <w:t xml:space="preserve"> </w:t>
      </w:r>
      <w:r>
        <w:rPr>
          <w:sz w:val="16"/>
        </w:rPr>
        <w:t>recursos</w:t>
      </w:r>
      <w:r>
        <w:rPr>
          <w:spacing w:val="-4"/>
          <w:sz w:val="16"/>
        </w:rPr>
        <w:t xml:space="preserve"> </w:t>
      </w:r>
      <w:r>
        <w:rPr>
          <w:sz w:val="16"/>
        </w:rPr>
        <w:t>como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sus</w:t>
      </w:r>
      <w:r>
        <w:rPr>
          <w:spacing w:val="-3"/>
          <w:sz w:val="16"/>
        </w:rPr>
        <w:t xml:space="preserve"> </w:t>
      </w:r>
      <w:r>
        <w:rPr>
          <w:sz w:val="16"/>
        </w:rPr>
        <w:t>gastos,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presentan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separado en la medida en que no pueda discriminarse la parte atribuible a los recursos de la parte atribuible al gasto de los ingresos correspondientes (RT 54, párr. 727). En caso de que</w:t>
      </w:r>
      <w:r>
        <w:rPr>
          <w:spacing w:val="-2"/>
          <w:sz w:val="16"/>
        </w:rPr>
        <w:t xml:space="preserve"> </w:t>
      </w:r>
      <w:r>
        <w:rPr>
          <w:sz w:val="16"/>
        </w:rPr>
        <w:t>tal discriminación fuera posible, deberá asignarse a cada una de esas</w:t>
      </w:r>
      <w:r>
        <w:rPr>
          <w:sz w:val="16"/>
        </w:rPr>
        <w:t xml:space="preserve"> partidas.</w:t>
      </w:r>
    </w:p>
    <w:p w14:paraId="6EC01A00" w14:textId="77777777" w:rsidR="00BF3243" w:rsidRDefault="003374E9">
      <w:pPr>
        <w:pStyle w:val="Textoindependiente"/>
        <w:spacing w:before="1"/>
        <w:ind w:right="136"/>
      </w:pPr>
      <w:r>
        <w:t>En</w:t>
      </w:r>
      <w:r>
        <w:rPr>
          <w:spacing w:val="-7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línea</w:t>
      </w:r>
      <w:r>
        <w:rPr>
          <w:spacing w:val="-7"/>
        </w:rPr>
        <w:t xml:space="preserve"> </w:t>
      </w:r>
      <w:r>
        <w:t>debería</w:t>
      </w:r>
      <w:r>
        <w:rPr>
          <w:spacing w:val="-7"/>
        </w:rPr>
        <w:t xml:space="preserve"> </w:t>
      </w:r>
      <w:r>
        <w:t>incluirse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contrapartida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derechos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facturar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asociados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aportantes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reconocen aquellas entidades que miden los ingresos de actividades ordinarias considerando el grado de avance de la producción, construcció</w:t>
      </w:r>
      <w:r>
        <w:t>n o prestación de servicios.</w:t>
      </w:r>
    </w:p>
    <w:p w14:paraId="5AB26217" w14:textId="77777777" w:rsidR="00BF3243" w:rsidRDefault="003374E9">
      <w:pPr>
        <w:pStyle w:val="Prrafodelista"/>
        <w:numPr>
          <w:ilvl w:val="0"/>
          <w:numId w:val="1"/>
        </w:numPr>
        <w:tabs>
          <w:tab w:val="left" w:pos="361"/>
        </w:tabs>
        <w:ind w:left="361" w:right="138"/>
        <w:jc w:val="both"/>
        <w:rPr>
          <w:sz w:val="16"/>
        </w:rPr>
      </w:pPr>
      <w:r>
        <w:rPr>
          <w:sz w:val="16"/>
        </w:rPr>
        <w:t>En la línea “gastos ordinarios” se incluyen, por ejemplo, las erogaciones correspondientes a la asignación de recursos (RT 54, párr. 727).</w:t>
      </w:r>
    </w:p>
    <w:p w14:paraId="086A025F" w14:textId="77777777" w:rsidR="00BF3243" w:rsidRDefault="003374E9">
      <w:pPr>
        <w:pStyle w:val="Prrafodelista"/>
        <w:numPr>
          <w:ilvl w:val="0"/>
          <w:numId w:val="1"/>
        </w:numPr>
        <w:tabs>
          <w:tab w:val="left" w:pos="361"/>
        </w:tabs>
        <w:ind w:left="361" w:right="133"/>
        <w:jc w:val="both"/>
        <w:rPr>
          <w:sz w:val="16"/>
        </w:rPr>
      </w:pPr>
      <w:r>
        <w:rPr>
          <w:sz w:val="16"/>
        </w:rPr>
        <w:t>Una entidad podría presentar los resultados financieros y por</w:t>
      </w:r>
      <w:r>
        <w:rPr>
          <w:spacing w:val="-1"/>
          <w:sz w:val="16"/>
        </w:rPr>
        <w:t xml:space="preserve"> </w:t>
      </w:r>
      <w:r>
        <w:rPr>
          <w:sz w:val="16"/>
        </w:rPr>
        <w:t>tenencia relacionados con las actividades ordinarias (por ejemplo, el resultado por tenencia de bienes de cambio) fuera de la línea “Otros resultados financieros y por tenencia (incluyendo el re</w:t>
      </w:r>
      <w:r>
        <w:rPr>
          <w:sz w:val="16"/>
        </w:rPr>
        <w:t>sultado por los cambios en el poder adquisitivo de la moneda)” (RT 54, párr. 631).</w:t>
      </w:r>
    </w:p>
    <w:p w14:paraId="65E9AD35" w14:textId="77777777" w:rsidR="00BF3243" w:rsidRDefault="003374E9">
      <w:pPr>
        <w:pStyle w:val="Textoindependiente"/>
        <w:ind w:right="140"/>
      </w:pPr>
      <w:r>
        <w:t>En el modelo, los otros resultados financieros y por tenencia (incluyendo el resultado por cambios en el poder adquisitivo de la moneda) se exponen en una sola línea. Una en</w:t>
      </w:r>
      <w:r>
        <w:t>tidad podría optar por presentarlos en forma más depurada (RT 54, párr. 632 a 634).</w:t>
      </w:r>
    </w:p>
    <w:p w14:paraId="50A6BB05" w14:textId="77777777" w:rsidR="00BF3243" w:rsidRDefault="003374E9">
      <w:pPr>
        <w:pStyle w:val="Prrafodelista"/>
        <w:numPr>
          <w:ilvl w:val="0"/>
          <w:numId w:val="1"/>
        </w:numPr>
        <w:tabs>
          <w:tab w:val="left" w:pos="361"/>
        </w:tabs>
        <w:ind w:left="361" w:hanging="359"/>
        <w:jc w:val="both"/>
        <w:rPr>
          <w:sz w:val="16"/>
        </w:rPr>
      </w:pPr>
      <w:r>
        <w:rPr>
          <w:sz w:val="16"/>
        </w:rPr>
        <w:t>En</w:t>
      </w:r>
      <w:r>
        <w:rPr>
          <w:spacing w:val="-7"/>
          <w:sz w:val="16"/>
        </w:rPr>
        <w:t xml:space="preserve"> </w:t>
      </w:r>
      <w:r>
        <w:rPr>
          <w:sz w:val="16"/>
        </w:rPr>
        <w:t>el</w:t>
      </w:r>
      <w:r>
        <w:rPr>
          <w:spacing w:val="-6"/>
          <w:sz w:val="16"/>
        </w:rPr>
        <w:t xml:space="preserve"> </w:t>
      </w:r>
      <w:r>
        <w:rPr>
          <w:sz w:val="16"/>
        </w:rPr>
        <w:t>modelo,</w:t>
      </w:r>
      <w:r>
        <w:rPr>
          <w:spacing w:val="-5"/>
          <w:sz w:val="16"/>
        </w:rPr>
        <w:t xml:space="preserve"> </w:t>
      </w:r>
      <w:r>
        <w:rPr>
          <w:sz w:val="16"/>
        </w:rPr>
        <w:t>los</w:t>
      </w:r>
      <w:r>
        <w:rPr>
          <w:spacing w:val="-5"/>
          <w:sz w:val="16"/>
        </w:rPr>
        <w:t xml:space="preserve"> </w:t>
      </w:r>
      <w:r>
        <w:rPr>
          <w:sz w:val="16"/>
        </w:rPr>
        <w:t>subsidios</w:t>
      </w:r>
      <w:r>
        <w:rPr>
          <w:spacing w:val="-5"/>
          <w:sz w:val="16"/>
        </w:rPr>
        <w:t xml:space="preserve"> </w:t>
      </w:r>
      <w:r>
        <w:rPr>
          <w:sz w:val="16"/>
        </w:rPr>
        <w:t>gubernamentales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7"/>
          <w:sz w:val="16"/>
        </w:rPr>
        <w:t xml:space="preserve"> </w:t>
      </w:r>
      <w:r>
        <w:rPr>
          <w:sz w:val="16"/>
        </w:rPr>
        <w:t>presentan</w:t>
      </w:r>
      <w:r>
        <w:rPr>
          <w:spacing w:val="-7"/>
          <w:sz w:val="16"/>
        </w:rPr>
        <w:t xml:space="preserve"> </w:t>
      </w:r>
      <w:r>
        <w:rPr>
          <w:sz w:val="16"/>
        </w:rPr>
        <w:t>dentro</w:t>
      </w:r>
      <w:r>
        <w:rPr>
          <w:spacing w:val="-4"/>
          <w:sz w:val="16"/>
        </w:rPr>
        <w:t xml:space="preserve"> </w:t>
      </w:r>
      <w:r>
        <w:rPr>
          <w:sz w:val="16"/>
        </w:rPr>
        <w:t>de la</w:t>
      </w:r>
      <w:r>
        <w:rPr>
          <w:spacing w:val="-4"/>
          <w:sz w:val="16"/>
        </w:rPr>
        <w:t xml:space="preserve"> </w:t>
      </w:r>
      <w:r>
        <w:rPr>
          <w:sz w:val="16"/>
        </w:rPr>
        <w:t>línea</w:t>
      </w:r>
      <w:r>
        <w:rPr>
          <w:spacing w:val="-5"/>
          <w:sz w:val="16"/>
        </w:rPr>
        <w:t xml:space="preserve"> </w:t>
      </w:r>
      <w:r>
        <w:rPr>
          <w:sz w:val="16"/>
        </w:rPr>
        <w:t>“Otros</w:t>
      </w:r>
      <w:r>
        <w:rPr>
          <w:spacing w:val="-2"/>
          <w:sz w:val="16"/>
        </w:rPr>
        <w:t xml:space="preserve"> </w:t>
      </w:r>
      <w:r>
        <w:rPr>
          <w:sz w:val="16"/>
        </w:rPr>
        <w:t>ingresos”</w:t>
      </w:r>
      <w:r>
        <w:rPr>
          <w:spacing w:val="-3"/>
          <w:sz w:val="16"/>
        </w:rPr>
        <w:t xml:space="preserve"> </w:t>
      </w:r>
      <w:r>
        <w:rPr>
          <w:sz w:val="16"/>
        </w:rPr>
        <w:t>(RT</w:t>
      </w:r>
      <w:r>
        <w:rPr>
          <w:spacing w:val="-6"/>
          <w:sz w:val="16"/>
        </w:rPr>
        <w:t xml:space="preserve"> </w:t>
      </w:r>
      <w:r>
        <w:rPr>
          <w:sz w:val="16"/>
        </w:rPr>
        <w:t>54,</w:t>
      </w:r>
      <w:r>
        <w:rPr>
          <w:spacing w:val="-5"/>
          <w:sz w:val="16"/>
        </w:rPr>
        <w:t xml:space="preserve"> </w:t>
      </w:r>
      <w:r>
        <w:rPr>
          <w:sz w:val="16"/>
        </w:rPr>
        <w:t>párr.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568).</w:t>
      </w:r>
    </w:p>
    <w:p w14:paraId="276196D2" w14:textId="77777777" w:rsidR="00BF3243" w:rsidRDefault="003374E9">
      <w:pPr>
        <w:pStyle w:val="Prrafodelista"/>
        <w:numPr>
          <w:ilvl w:val="0"/>
          <w:numId w:val="1"/>
        </w:numPr>
        <w:tabs>
          <w:tab w:val="left" w:pos="361"/>
        </w:tabs>
        <w:spacing w:before="1"/>
        <w:ind w:left="361" w:right="145"/>
        <w:jc w:val="both"/>
        <w:rPr>
          <w:sz w:val="16"/>
        </w:rPr>
      </w:pPr>
      <w:r>
        <w:rPr>
          <w:sz w:val="16"/>
        </w:rPr>
        <w:t>Únicamente en caso de corresponder cuando la entidad sin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fin de lucro no se encuentre exenta de impuesto a las </w:t>
      </w:r>
      <w:r>
        <w:rPr>
          <w:spacing w:val="-2"/>
          <w:sz w:val="16"/>
        </w:rPr>
        <w:t>ganancias.</w:t>
      </w:r>
    </w:p>
    <w:sectPr w:rsidR="00BF3243">
      <w:footerReference w:type="default" r:id="rId7"/>
      <w:type w:val="continuous"/>
      <w:pgSz w:w="11910" w:h="16840"/>
      <w:pgMar w:top="640" w:right="1559" w:bottom="960" w:left="1700" w:header="0" w:footer="7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CA3CD" w14:textId="77777777" w:rsidR="00000000" w:rsidRDefault="003374E9">
      <w:r>
        <w:separator/>
      </w:r>
    </w:p>
  </w:endnote>
  <w:endnote w:type="continuationSeparator" w:id="0">
    <w:p w14:paraId="4EE8CCAE" w14:textId="77777777" w:rsidR="00000000" w:rsidRDefault="0033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66393" w14:textId="77777777" w:rsidR="00BF3243" w:rsidRDefault="003374E9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2A36C8FE" wp14:editId="12C984C7">
              <wp:simplePos x="0" y="0"/>
              <wp:positionH relativeFrom="page">
                <wp:posOffset>6418326</wp:posOffset>
              </wp:positionH>
              <wp:positionV relativeFrom="page">
                <wp:posOffset>10060168</wp:posOffset>
              </wp:positionV>
              <wp:extent cx="74930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93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F78B3A" w14:textId="77777777" w:rsidR="00BF3243" w:rsidRDefault="003374E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6C8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5.4pt;margin-top:792.15pt;width:5.9pt;height:9.8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/mpQEAAD0DAAAOAAAAZHJzL2Uyb0RvYy54bWysUsGO0zAQvSPxD5bvNG2pFoiaroAVCGkF&#10;SLt8gOPYjUXsMTNuk/49YzftruCGuDjjzPN782Zmezv5QRwNkoPQyNViKYUJGjoX9o388fjp1Vsp&#10;KKnQqQGCaeTJkLzdvXyxHWNt1tDD0BkUTBKoHmMj+5RiXVWke+MVLSCawEkL6FXiK+6rDtXI7H6o&#10;1svlTTUCdhFBGyL+e3dOyl3ht9bo9M1aMkkMjeTaUjmxnG0+q91W1XtUsXd6LkP9QxVeucCiV6o7&#10;lZQ4oPuLyjuNQGDTQoOvwFqnTfHAblbLP9w89Cqa4oWbQ/HaJvp/tPrr8TsK1/HspAjK84gezZRa&#10;mMQqN2eMVDPmITIqTR9gysBslOI96J/EkOoZ5vyAGJ0xk0Wfv2xT8EPu/+nacxYRmn++2bx7zQnN&#10;mdV6s7kpI6me3kak9NmAFzloJPJEi7463lPK6qq+QOZSzuq5qDS10+yhhe7EFkaedCPp10GhkWL4&#10;EriVeS0uAV6C9hJgGj5CWZ7sJMD7QwLrinKWOPPOyjyjUtC8T3kJnt8L6mnrd78BAAD//wMAUEsD&#10;BBQABgAIAAAAIQDUbupz4gAAAA8BAAAPAAAAZHJzL2Rvd25yZXYueG1sTI/BTsMwEETvSP0Haytx&#10;o3ZTiNoQp6oQnJAQaThwdGI3sRqvQ+y24e/ZnsptRjuafZNvJ9ezsxmD9ShhuRDADDZeW2wlfFVv&#10;D2tgISrUqvdoJPyaANtidperTPsLlua8jy2jEgyZktDFOGSch6YzToWFHwzS7eBHpyLZseV6VBcq&#10;dz1PhEi5UxbpQ6cG89KZ5rg/OQm7byxf7c9H/VkeSltVG4Hv6VHK+/m0ewYWzRRvYbjiEzoUxFT7&#10;E+rAevJiKYg9knpaP66AXTMiSVJgNalUrDbAi5z/31H8AQAA//8DAFBLAQItABQABgAIAAAAIQC2&#10;gziS/gAAAOEBAAATAAAAAAAAAAAAAAAAAAAAAABbQ29udGVudF9UeXBlc10ueG1sUEsBAi0AFAAG&#10;AAgAAAAhADj9If/WAAAAlAEAAAsAAAAAAAAAAAAAAAAALwEAAF9yZWxzLy5yZWxzUEsBAi0AFAAG&#10;AAgAAAAhAMZ4f+alAQAAPQMAAA4AAAAAAAAAAAAAAAAALgIAAGRycy9lMm9Eb2MueG1sUEsBAi0A&#10;FAAGAAgAAAAhANRu6nPiAAAADwEAAA8AAAAAAAAAAAAAAAAA/wMAAGRycy9kb3ducmV2LnhtbFBL&#10;BQYAAAAABAAEAPMAAAAOBQAAAAA=&#10;" filled="f" stroked="f">
              <v:textbox inset="0,0,0,0">
                <w:txbxContent>
                  <w:p w14:paraId="57F78B3A" w14:textId="77777777" w:rsidR="00BF3243" w:rsidRDefault="003374E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23DDA" w14:textId="77777777" w:rsidR="00000000" w:rsidRDefault="003374E9">
      <w:r>
        <w:separator/>
      </w:r>
    </w:p>
  </w:footnote>
  <w:footnote w:type="continuationSeparator" w:id="0">
    <w:p w14:paraId="54AEE5CD" w14:textId="77777777" w:rsidR="00000000" w:rsidRDefault="0033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D0E38"/>
    <w:multiLevelType w:val="hybridMultilevel"/>
    <w:tmpl w:val="7E5887FA"/>
    <w:lvl w:ilvl="0" w:tplc="102EFF68">
      <w:start w:val="1"/>
      <w:numFmt w:val="decimal"/>
      <w:lvlText w:val="(%1)"/>
      <w:lvlJc w:val="left"/>
      <w:pPr>
        <w:ind w:left="3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DE88A730">
      <w:numFmt w:val="bullet"/>
      <w:lvlText w:val="•"/>
      <w:lvlJc w:val="left"/>
      <w:pPr>
        <w:ind w:left="1188" w:hanging="360"/>
      </w:pPr>
      <w:rPr>
        <w:rFonts w:hint="default"/>
        <w:lang w:val="es-ES" w:eastAsia="en-US" w:bidi="ar-SA"/>
      </w:rPr>
    </w:lvl>
    <w:lvl w:ilvl="2" w:tplc="4554FEC0">
      <w:numFmt w:val="bullet"/>
      <w:lvlText w:val="•"/>
      <w:lvlJc w:val="left"/>
      <w:pPr>
        <w:ind w:left="2017" w:hanging="360"/>
      </w:pPr>
      <w:rPr>
        <w:rFonts w:hint="default"/>
        <w:lang w:val="es-ES" w:eastAsia="en-US" w:bidi="ar-SA"/>
      </w:rPr>
    </w:lvl>
    <w:lvl w:ilvl="3" w:tplc="9BC0AC3A">
      <w:numFmt w:val="bullet"/>
      <w:lvlText w:val="•"/>
      <w:lvlJc w:val="left"/>
      <w:pPr>
        <w:ind w:left="2846" w:hanging="360"/>
      </w:pPr>
      <w:rPr>
        <w:rFonts w:hint="default"/>
        <w:lang w:val="es-ES" w:eastAsia="en-US" w:bidi="ar-SA"/>
      </w:rPr>
    </w:lvl>
    <w:lvl w:ilvl="4" w:tplc="BAF84536">
      <w:numFmt w:val="bullet"/>
      <w:lvlText w:val="•"/>
      <w:lvlJc w:val="left"/>
      <w:pPr>
        <w:ind w:left="3674" w:hanging="360"/>
      </w:pPr>
      <w:rPr>
        <w:rFonts w:hint="default"/>
        <w:lang w:val="es-ES" w:eastAsia="en-US" w:bidi="ar-SA"/>
      </w:rPr>
    </w:lvl>
    <w:lvl w:ilvl="5" w:tplc="A29CA35A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6" w:tplc="45E86738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7" w:tplc="26FCDD62">
      <w:numFmt w:val="bullet"/>
      <w:lvlText w:val="•"/>
      <w:lvlJc w:val="left"/>
      <w:pPr>
        <w:ind w:left="6161" w:hanging="360"/>
      </w:pPr>
      <w:rPr>
        <w:rFonts w:hint="default"/>
        <w:lang w:val="es-ES" w:eastAsia="en-US" w:bidi="ar-SA"/>
      </w:rPr>
    </w:lvl>
    <w:lvl w:ilvl="8" w:tplc="A5AEAAE2">
      <w:numFmt w:val="bullet"/>
      <w:lvlText w:val="•"/>
      <w:lvlJc w:val="left"/>
      <w:pPr>
        <w:ind w:left="6989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243"/>
    <w:rsid w:val="003374E9"/>
    <w:rsid w:val="00B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0082"/>
  <w15:docId w15:val="{CE6002EF-51FA-4C76-98C2-61109B67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" w:right="1387"/>
      <w:jc w:val="center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61"/>
      <w:jc w:val="both"/>
    </w:pPr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95"/>
      <w:ind w:left="2"/>
    </w:pPr>
    <w:rPr>
      <w:rFonts w:ascii="Trebuchet MS" w:eastAsia="Trebuchet MS" w:hAnsi="Trebuchet MS" w:cs="Trebuchet MS"/>
      <w:b/>
      <w:bCs/>
    </w:rPr>
  </w:style>
  <w:style w:type="paragraph" w:styleId="Prrafodelista">
    <w:name w:val="List Paragraph"/>
    <w:basedOn w:val="Normal"/>
    <w:uiPriority w:val="1"/>
    <w:qFormat/>
    <w:pPr>
      <w:ind w:left="36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Sosa</dc:creator>
  <cp:lastModifiedBy>Jorge Sosa</cp:lastModifiedBy>
  <cp:revision>2</cp:revision>
  <dcterms:created xsi:type="dcterms:W3CDTF">2026-01-12T16:16:00Z</dcterms:created>
  <dcterms:modified xsi:type="dcterms:W3CDTF">2026-01-12T16:16:00Z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Nitro Pro</vt:lpwstr>
  </property>
  <property fmtid="{D5CDD505-2E9C-101B-9397-08002B2CF9AE}" pid="4" name="LastSaved">
    <vt:filetime>2026-01-12T00:00:00Z</vt:filetime>
  </property>
</Properties>
</file>